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7DB17" w14:textId="33551D11" w:rsidR="000827D7" w:rsidRPr="000E4356" w:rsidRDefault="000827D7" w:rsidP="000827D7">
      <w:pPr>
        <w:tabs>
          <w:tab w:val="center" w:pos="4536"/>
          <w:tab w:val="right" w:pos="7938"/>
          <w:tab w:val="right" w:pos="9639"/>
        </w:tabs>
        <w:ind w:right="2"/>
        <w:rPr>
          <w:b/>
          <w:bCs/>
          <w:sz w:val="28"/>
        </w:rPr>
      </w:pPr>
      <w:r w:rsidRPr="000E4356">
        <w:rPr>
          <w:b/>
          <w:bCs/>
          <w:sz w:val="28"/>
        </w:rPr>
        <w:t>3GPP TSG RAN WG1 #</w:t>
      </w:r>
      <w:r w:rsidR="00B4261B">
        <w:rPr>
          <w:b/>
          <w:bCs/>
          <w:sz w:val="28"/>
        </w:rPr>
        <w:t>122-bis</w:t>
      </w:r>
      <w:r w:rsidRPr="000E4356">
        <w:rPr>
          <w:b/>
          <w:bCs/>
          <w:sz w:val="28"/>
        </w:rPr>
        <w:tab/>
      </w:r>
      <w:r w:rsidRPr="000E4356">
        <w:rPr>
          <w:b/>
          <w:bCs/>
          <w:sz w:val="28"/>
        </w:rPr>
        <w:tab/>
      </w:r>
      <w:r w:rsidRPr="000E4356">
        <w:rPr>
          <w:b/>
          <w:bCs/>
          <w:sz w:val="28"/>
        </w:rPr>
        <w:tab/>
      </w:r>
      <w:r w:rsidR="00CD6FA3" w:rsidRPr="00CD6FA3">
        <w:rPr>
          <w:b/>
          <w:bCs/>
          <w:sz w:val="28"/>
        </w:rPr>
        <w:t>R1-2507680</w:t>
      </w:r>
    </w:p>
    <w:p w14:paraId="67BCB6C7" w14:textId="4154EC8F" w:rsidR="000827D7" w:rsidRPr="005A6FA9" w:rsidRDefault="00B4261B" w:rsidP="000827D7">
      <w:pPr>
        <w:pStyle w:val="3GPPHeader"/>
        <w:rPr>
          <w:rFonts w:eastAsia="MS Mincho"/>
          <w:bCs/>
          <w:sz w:val="28"/>
          <w:lang w:val="en-GB" w:eastAsia="ja-JP"/>
        </w:rPr>
      </w:pPr>
      <w:r>
        <w:rPr>
          <w:rFonts w:eastAsia="MS Mincho"/>
          <w:bCs/>
          <w:sz w:val="28"/>
          <w:lang w:val="en-GB" w:eastAsia="ja-JP"/>
        </w:rPr>
        <w:t>Pra</w:t>
      </w:r>
      <w:r w:rsidR="00196852">
        <w:rPr>
          <w:rFonts w:eastAsia="MS Mincho"/>
          <w:bCs/>
          <w:sz w:val="28"/>
          <w:lang w:val="en-GB" w:eastAsia="ja-JP"/>
        </w:rPr>
        <w:t>g</w:t>
      </w:r>
      <w:r>
        <w:rPr>
          <w:rFonts w:eastAsia="MS Mincho"/>
          <w:bCs/>
          <w:sz w:val="28"/>
          <w:lang w:val="en-GB" w:eastAsia="ja-JP"/>
        </w:rPr>
        <w:t>ue</w:t>
      </w:r>
      <w:r w:rsidR="000827D7" w:rsidRPr="005A6FA9">
        <w:rPr>
          <w:rFonts w:eastAsia="MS Mincho"/>
          <w:bCs/>
          <w:sz w:val="28"/>
          <w:lang w:val="en-GB" w:eastAsia="ja-JP"/>
        </w:rPr>
        <w:t xml:space="preserve">, </w:t>
      </w:r>
      <w:r>
        <w:rPr>
          <w:rFonts w:eastAsia="MS Mincho"/>
          <w:bCs/>
          <w:sz w:val="28"/>
          <w:lang w:val="en-GB" w:eastAsia="ja-JP"/>
        </w:rPr>
        <w:t>CZ</w:t>
      </w:r>
      <w:r w:rsidR="000827D7" w:rsidRPr="005A6FA9">
        <w:rPr>
          <w:rFonts w:eastAsia="MS Mincho"/>
          <w:bCs/>
          <w:sz w:val="28"/>
          <w:lang w:val="en-GB" w:eastAsia="ja-JP"/>
        </w:rPr>
        <w:t xml:space="preserve">, </w:t>
      </w:r>
      <w:r>
        <w:rPr>
          <w:rFonts w:eastAsia="MS Mincho"/>
          <w:bCs/>
          <w:sz w:val="28"/>
          <w:lang w:val="en-GB" w:eastAsia="ja-JP"/>
        </w:rPr>
        <w:t>Oct</w:t>
      </w:r>
      <w:r w:rsidR="000827D7" w:rsidRPr="005A6FA9">
        <w:rPr>
          <w:rFonts w:eastAsia="MS Mincho" w:hint="eastAsia"/>
          <w:bCs/>
          <w:sz w:val="28"/>
          <w:lang w:val="en-GB" w:eastAsia="ja-JP"/>
        </w:rPr>
        <w:t xml:space="preserve"> </w:t>
      </w:r>
      <w:r>
        <w:rPr>
          <w:rFonts w:eastAsia="MS Mincho"/>
          <w:bCs/>
          <w:sz w:val="28"/>
          <w:lang w:val="en-GB" w:eastAsia="ja-JP"/>
        </w:rPr>
        <w:t>13</w:t>
      </w:r>
      <w:r w:rsidR="000827D7" w:rsidRPr="005A6FA9">
        <w:rPr>
          <w:rFonts w:eastAsia="MS Mincho" w:hint="eastAsia"/>
          <w:bCs/>
          <w:sz w:val="28"/>
          <w:vertAlign w:val="superscript"/>
          <w:lang w:val="en-GB" w:eastAsia="ja-JP"/>
        </w:rPr>
        <w:t>th</w:t>
      </w:r>
      <w:r w:rsidR="000827D7" w:rsidRPr="005A6FA9">
        <w:rPr>
          <w:rFonts w:eastAsia="MS Mincho"/>
          <w:bCs/>
          <w:sz w:val="28"/>
          <w:lang w:val="en-GB" w:eastAsia="ja-JP"/>
        </w:rPr>
        <w:t xml:space="preserve"> – </w:t>
      </w:r>
      <w:r>
        <w:rPr>
          <w:rFonts w:eastAsia="MS Mincho"/>
          <w:bCs/>
          <w:sz w:val="28"/>
          <w:lang w:val="en-GB" w:eastAsia="ja-JP"/>
        </w:rPr>
        <w:t>17</w:t>
      </w:r>
      <w:r w:rsidR="000827D7" w:rsidRPr="005A6FA9">
        <w:rPr>
          <w:rFonts w:eastAsia="MS Mincho"/>
          <w:bCs/>
          <w:sz w:val="28"/>
          <w:vertAlign w:val="superscript"/>
          <w:lang w:val="en-GB" w:eastAsia="ja-JP"/>
        </w:rPr>
        <w:t>th</w:t>
      </w:r>
      <w:r w:rsidR="000827D7" w:rsidRPr="005A6FA9">
        <w:rPr>
          <w:rFonts w:eastAsia="MS Mincho"/>
          <w:bCs/>
          <w:sz w:val="28"/>
          <w:lang w:val="en-GB" w:eastAsia="ja-JP"/>
        </w:rPr>
        <w:t>, 2025</w:t>
      </w:r>
    </w:p>
    <w:p w14:paraId="4DBCDDB0" w14:textId="77777777" w:rsidR="000827D7" w:rsidRPr="002D2038" w:rsidRDefault="000827D7" w:rsidP="000827D7">
      <w:pPr>
        <w:pStyle w:val="3GPPHeader"/>
        <w:rPr>
          <w:rFonts w:eastAsia="MS Mincho"/>
          <w:bCs/>
          <w:sz w:val="28"/>
          <w:lang w:val="en-GB" w:eastAsia="ja-JP"/>
        </w:rPr>
      </w:pPr>
      <w:r>
        <w:t xml:space="preserve"> </w:t>
      </w:r>
    </w:p>
    <w:p w14:paraId="61918A45" w14:textId="4378C242" w:rsidR="000827D7" w:rsidRPr="00027C68" w:rsidRDefault="000827D7" w:rsidP="000827D7">
      <w:pPr>
        <w:pStyle w:val="3GPPHeader"/>
        <w:rPr>
          <w:color w:val="EE0000"/>
        </w:rPr>
      </w:pPr>
      <w:r w:rsidRPr="00CE30E7">
        <w:t>Agenda Item:</w:t>
      </w:r>
      <w:r w:rsidRPr="00CE30E7">
        <w:tab/>
      </w:r>
      <w:r w:rsidR="008C3862" w:rsidRPr="008C3862">
        <w:rPr>
          <w:color w:val="000000" w:themeColor="text1"/>
        </w:rPr>
        <w:t>11.4.1</w:t>
      </w:r>
    </w:p>
    <w:p w14:paraId="27725109" w14:textId="77777777" w:rsidR="000827D7" w:rsidRPr="00CE30E7" w:rsidRDefault="000827D7" w:rsidP="000827D7">
      <w:pPr>
        <w:pStyle w:val="3GPPHeader"/>
      </w:pPr>
      <w:r w:rsidRPr="00CE30E7">
        <w:t>Source:</w:t>
      </w:r>
      <w:r w:rsidRPr="00CE30E7">
        <w:tab/>
        <w:t>Apple</w:t>
      </w:r>
    </w:p>
    <w:p w14:paraId="679B832F" w14:textId="1AC9ABD1" w:rsidR="000827D7" w:rsidRPr="00CE30E7" w:rsidRDefault="000827D7" w:rsidP="000827D7">
      <w:pPr>
        <w:pStyle w:val="3GPPHeader"/>
      </w:pPr>
      <w:r w:rsidRPr="00CE30E7">
        <w:t>Title:</w:t>
      </w:r>
      <w:r w:rsidRPr="00CE30E7">
        <w:tab/>
      </w:r>
      <w:r>
        <w:t>Considerations of 6G</w:t>
      </w:r>
      <w:r w:rsidR="0092562A">
        <w:t>R</w:t>
      </w:r>
      <w:r>
        <w:t xml:space="preserve"> Channel Coding</w:t>
      </w:r>
    </w:p>
    <w:p w14:paraId="540495C3" w14:textId="77777777" w:rsidR="000827D7" w:rsidRPr="00CE30E7" w:rsidRDefault="000827D7" w:rsidP="000827D7">
      <w:pPr>
        <w:pStyle w:val="3GPPHeader"/>
      </w:pPr>
      <w:r w:rsidRPr="00CE30E7">
        <w:t>Document for:</w:t>
      </w:r>
      <w:r w:rsidRPr="00CE30E7">
        <w:tab/>
        <w:t>Discussion/Decision</w:t>
      </w:r>
    </w:p>
    <w:p w14:paraId="4EF24510" w14:textId="77777777" w:rsidR="000827D7" w:rsidRDefault="000827D7" w:rsidP="000827D7">
      <w:pPr>
        <w:pStyle w:val="Heading1"/>
        <w:jc w:val="both"/>
      </w:pPr>
      <w:r w:rsidRPr="00A6576F">
        <w:t>Introduction</w:t>
      </w:r>
    </w:p>
    <w:p w14:paraId="06C88D21" w14:textId="7F0FD8F8" w:rsidR="000827D7" w:rsidRDefault="00C12BC8" w:rsidP="000827D7">
      <w:pPr>
        <w:jc w:val="both"/>
      </w:pPr>
      <w:r>
        <w:t>In this document, we respond to the Chairman’s guidance by providing proposals that enhance the evaluation assumptions and decoder assumptions for 6G channel coding. Furthermore, we present solutions aimed at improving the performance of channel coding while ensuring minimal hardware impact. These contributions are intended to align with the evaluation framework and justification requirements outlined in the Chairman’s notes.</w:t>
      </w:r>
    </w:p>
    <w:p w14:paraId="6E731857" w14:textId="77777777" w:rsidR="00C12BC8" w:rsidRDefault="00C12BC8" w:rsidP="000827D7">
      <w:pPr>
        <w:jc w:val="both"/>
      </w:pPr>
    </w:p>
    <w:tbl>
      <w:tblPr>
        <w:tblStyle w:val="TableGrid"/>
        <w:tblW w:w="0" w:type="auto"/>
        <w:tblLook w:val="04A0" w:firstRow="1" w:lastRow="0" w:firstColumn="1" w:lastColumn="0" w:noHBand="0" w:noVBand="1"/>
      </w:tblPr>
      <w:tblGrid>
        <w:gridCol w:w="9629"/>
      </w:tblGrid>
      <w:tr w:rsidR="000827D7" w14:paraId="381636CE" w14:textId="77777777" w:rsidTr="00052F1D">
        <w:tc>
          <w:tcPr>
            <w:tcW w:w="9629" w:type="dxa"/>
          </w:tcPr>
          <w:p w14:paraId="56DADD0A" w14:textId="51B15AE4" w:rsidR="000827D7" w:rsidRPr="005E464C" w:rsidRDefault="005E464C" w:rsidP="005E464C">
            <w:pPr>
              <w:overflowPunct w:val="0"/>
              <w:autoSpaceDE w:val="0"/>
              <w:autoSpaceDN w:val="0"/>
              <w:adjustRightInd w:val="0"/>
              <w:spacing w:after="120"/>
              <w:contextualSpacing/>
              <w:jc w:val="both"/>
              <w:textAlignment w:val="baseline"/>
              <w:rPr>
                <w:color w:val="000000" w:themeColor="text1"/>
              </w:rPr>
            </w:pPr>
            <w:r w:rsidRPr="005E464C">
              <w:rPr>
                <w:color w:val="000000" w:themeColor="text1"/>
              </w:rPr>
              <w:t xml:space="preserve">Chairman Guidance </w:t>
            </w:r>
            <w:r w:rsidR="0092562A" w:rsidRPr="005E464C">
              <w:rPr>
                <w:color w:val="000000" w:themeColor="text1"/>
              </w:rPr>
              <w:t>For 6GR control channel coding</w:t>
            </w:r>
            <w:r w:rsidR="000827D7" w:rsidRPr="005E464C">
              <w:rPr>
                <w:color w:val="000000" w:themeColor="text1"/>
              </w:rPr>
              <w:t>,</w:t>
            </w:r>
            <w:r w:rsidR="00C12BC8">
              <w:rPr>
                <w:color w:val="000000" w:themeColor="text1"/>
              </w:rPr>
              <w:t xml:space="preserve"> (</w:t>
            </w:r>
            <w:r w:rsidR="00C12BC8">
              <w:t>R1-2506611)</w:t>
            </w:r>
            <w:r w:rsidR="000827D7" w:rsidRPr="005E464C">
              <w:rPr>
                <w:color w:val="000000" w:themeColor="text1"/>
              </w:rPr>
              <w:t xml:space="preserve"> </w:t>
            </w:r>
          </w:p>
          <w:p w14:paraId="255EAF5D" w14:textId="23996D6B" w:rsidR="000827D7" w:rsidRPr="00B4261B" w:rsidRDefault="0092562A" w:rsidP="005E464C">
            <w:pPr>
              <w:pStyle w:val="ListParagraph"/>
              <w:numPr>
                <w:ilvl w:val="0"/>
                <w:numId w:val="126"/>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Evaluations can be provided in form of BLER and FAR results.</w:t>
            </w:r>
          </w:p>
          <w:p w14:paraId="3C7A3763" w14:textId="7BC43A5D" w:rsidR="000827D7" w:rsidRPr="00B4261B" w:rsidRDefault="0092562A" w:rsidP="005E464C">
            <w:pPr>
              <w:pStyle w:val="ListParagraph"/>
              <w:numPr>
                <w:ilvl w:val="0"/>
                <w:numId w:val="126"/>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Evaluations/Analysis can be provided for complexity, decoding latency,</w:t>
            </w:r>
          </w:p>
          <w:p w14:paraId="37AB9813" w14:textId="20BED519" w:rsidR="000827D7" w:rsidRPr="00B4261B" w:rsidRDefault="0092562A" w:rsidP="005E464C">
            <w:pPr>
              <w:pStyle w:val="ListParagraph"/>
              <w:numPr>
                <w:ilvl w:val="1"/>
                <w:numId w:val="126"/>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 xml:space="preserve">Other metrics are not precluded </w:t>
            </w:r>
          </w:p>
          <w:p w14:paraId="4CF5D2D7" w14:textId="71C771E7" w:rsidR="000827D7" w:rsidRPr="00B4261B" w:rsidRDefault="0092562A" w:rsidP="005E464C">
            <w:pPr>
              <w:pStyle w:val="ListParagraph"/>
              <w:numPr>
                <w:ilvl w:val="0"/>
                <w:numId w:val="126"/>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Proponent companies to provide evaluation assumptions and methodologies for respective evaluation.</w:t>
            </w:r>
          </w:p>
          <w:p w14:paraId="15382C0A" w14:textId="64C69EFC" w:rsidR="0092562A" w:rsidRPr="00B4261B" w:rsidRDefault="0092562A" w:rsidP="005E464C">
            <w:pPr>
              <w:pStyle w:val="ListParagraph"/>
              <w:numPr>
                <w:ilvl w:val="0"/>
                <w:numId w:val="126"/>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 xml:space="preserve">Proponent companies to provide details of channel coding extension compared with NR channel coding </w:t>
            </w:r>
          </w:p>
          <w:p w14:paraId="1467C291" w14:textId="5AB822F6" w:rsidR="00B4261B" w:rsidRPr="00C12BC8" w:rsidRDefault="0092562A" w:rsidP="00C12BC8">
            <w:pPr>
              <w:pStyle w:val="ListParagraph"/>
              <w:numPr>
                <w:ilvl w:val="0"/>
                <w:numId w:val="126"/>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Proponent companies to provide justification for the channel coding extension, compared with control channel codes as defined in 5G NR.</w:t>
            </w:r>
          </w:p>
          <w:p w14:paraId="6F19B463" w14:textId="18E39CC5" w:rsidR="005E464C" w:rsidRPr="005E464C" w:rsidRDefault="005E464C" w:rsidP="005E464C">
            <w:pPr>
              <w:overflowPunct w:val="0"/>
              <w:autoSpaceDE w:val="0"/>
              <w:autoSpaceDN w:val="0"/>
              <w:adjustRightInd w:val="0"/>
              <w:spacing w:after="120"/>
              <w:contextualSpacing/>
              <w:jc w:val="both"/>
              <w:textAlignment w:val="baseline"/>
              <w:rPr>
                <w:color w:val="000000" w:themeColor="text1"/>
              </w:rPr>
            </w:pPr>
            <w:r w:rsidRPr="005E464C">
              <w:rPr>
                <w:color w:val="000000" w:themeColor="text1"/>
              </w:rPr>
              <w:t>Chairman Guidance for 6GR data channel coding,</w:t>
            </w:r>
            <w:r w:rsidR="00C12BC8">
              <w:rPr>
                <w:color w:val="000000" w:themeColor="text1"/>
              </w:rPr>
              <w:t xml:space="preserve"> (</w:t>
            </w:r>
            <w:r w:rsidR="00C12BC8" w:rsidRPr="00B4261B">
              <w:rPr>
                <w:rFonts w:hint="eastAsia"/>
                <w:lang w:val="en-GB"/>
              </w:rPr>
              <w:t>R1-2506590</w:t>
            </w:r>
            <w:r w:rsidR="00C12BC8">
              <w:rPr>
                <w:lang w:val="en-GB"/>
              </w:rPr>
              <w:t>)</w:t>
            </w:r>
          </w:p>
          <w:p w14:paraId="74A27906" w14:textId="2183CC78" w:rsidR="005E464C" w:rsidRPr="00B4261B" w:rsidRDefault="005E464C" w:rsidP="005E464C">
            <w:pPr>
              <w:pStyle w:val="ListParagraph"/>
              <w:numPr>
                <w:ilvl w:val="0"/>
                <w:numId w:val="127"/>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Evaluations can be provided in form of BLER results.</w:t>
            </w:r>
          </w:p>
          <w:p w14:paraId="5648D79F" w14:textId="3836D66B" w:rsidR="005E464C" w:rsidRPr="00B4261B" w:rsidRDefault="005E464C" w:rsidP="005E464C">
            <w:pPr>
              <w:pStyle w:val="ListParagraph"/>
              <w:numPr>
                <w:ilvl w:val="0"/>
                <w:numId w:val="127"/>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Evaluations/Analysis on throughput, complexity, and decoding latency can be provided,</w:t>
            </w:r>
          </w:p>
          <w:p w14:paraId="4384E393" w14:textId="77777777" w:rsidR="005E464C" w:rsidRPr="00B4261B" w:rsidRDefault="005E464C" w:rsidP="005E464C">
            <w:pPr>
              <w:pStyle w:val="ListParagraph"/>
              <w:numPr>
                <w:ilvl w:val="2"/>
                <w:numId w:val="127"/>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 xml:space="preserve">Other metrics are not precluded </w:t>
            </w:r>
          </w:p>
          <w:p w14:paraId="05BFE8FE" w14:textId="2C61D21A" w:rsidR="005E464C" w:rsidRPr="00B4261B" w:rsidRDefault="005E464C" w:rsidP="005E464C">
            <w:pPr>
              <w:pStyle w:val="ListParagraph"/>
              <w:numPr>
                <w:ilvl w:val="0"/>
                <w:numId w:val="127"/>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Proponent companies to provide their target scenarios and requirements, evaluation assumptions and methodologies for respective evaluation/analysis, e.g. decoding algorithm and details, information sizes, code rates, HARQ scheme, channel type, modulation order, target BLER, etc.</w:t>
            </w:r>
          </w:p>
          <w:p w14:paraId="01EA1BD7" w14:textId="6347B561" w:rsidR="005E464C" w:rsidRPr="00B4261B" w:rsidRDefault="005E464C" w:rsidP="005E464C">
            <w:pPr>
              <w:pStyle w:val="ListParagraph"/>
              <w:numPr>
                <w:ilvl w:val="0"/>
                <w:numId w:val="127"/>
              </w:numPr>
              <w:overflowPunct w:val="0"/>
              <w:autoSpaceDE w:val="0"/>
              <w:autoSpaceDN w:val="0"/>
              <w:adjustRightInd w:val="0"/>
              <w:spacing w:after="120"/>
              <w:contextualSpacing/>
              <w:jc w:val="both"/>
              <w:textAlignment w:val="baseline"/>
              <w:rPr>
                <w:rFonts w:ascii="Times New Roman" w:hAnsi="Times New Roman"/>
                <w:color w:val="000000" w:themeColor="text1"/>
                <w:sz w:val="24"/>
                <w:szCs w:val="24"/>
                <w:highlight w:val="cyan"/>
              </w:rPr>
            </w:pPr>
            <w:r w:rsidRPr="00B4261B">
              <w:rPr>
                <w:rFonts w:ascii="Times New Roman" w:hAnsi="Times New Roman"/>
                <w:color w:val="000000" w:themeColor="text1"/>
                <w:sz w:val="24"/>
                <w:szCs w:val="24"/>
                <w:highlight w:val="cyan"/>
              </w:rPr>
              <w:t xml:space="preserve">Proponent companies to provide details of channel coding extension compared with NR channel coding. </w:t>
            </w:r>
          </w:p>
          <w:p w14:paraId="236D6DB3" w14:textId="78077D28" w:rsidR="005E464C" w:rsidRPr="005E464C" w:rsidRDefault="005E464C" w:rsidP="005E464C">
            <w:pPr>
              <w:pStyle w:val="ListParagraph"/>
              <w:numPr>
                <w:ilvl w:val="0"/>
                <w:numId w:val="127"/>
              </w:numPr>
              <w:overflowPunct w:val="0"/>
              <w:autoSpaceDE w:val="0"/>
              <w:autoSpaceDN w:val="0"/>
              <w:adjustRightInd w:val="0"/>
              <w:spacing w:after="120"/>
              <w:contextualSpacing/>
              <w:jc w:val="both"/>
              <w:textAlignment w:val="baseline"/>
              <w:rPr>
                <w:color w:val="000000" w:themeColor="text1"/>
              </w:rPr>
            </w:pPr>
            <w:r w:rsidRPr="00B4261B">
              <w:rPr>
                <w:rFonts w:ascii="Times New Roman" w:hAnsi="Times New Roman"/>
                <w:color w:val="000000" w:themeColor="text1"/>
                <w:sz w:val="24"/>
                <w:szCs w:val="24"/>
                <w:highlight w:val="cyan"/>
              </w:rPr>
              <w:t>Proponent companies to provide justification for the channel coding extension, and how to satisfy 6G requirements and characteristics with acceptable performance/complexity trade-off, compared with data channel codes as defined in 5G NR</w:t>
            </w:r>
            <w:r w:rsidRPr="00B4261B">
              <w:rPr>
                <w:rFonts w:ascii="Times New Roman" w:hAnsi="Times New Roman"/>
                <w:color w:val="000000" w:themeColor="text1"/>
                <w:highlight w:val="cyan"/>
              </w:rPr>
              <w:t>.</w:t>
            </w:r>
          </w:p>
        </w:tc>
      </w:tr>
    </w:tbl>
    <w:p w14:paraId="47416151" w14:textId="77777777" w:rsidR="000827D7" w:rsidRDefault="000827D7" w:rsidP="000827D7">
      <w:pPr>
        <w:jc w:val="both"/>
      </w:pPr>
    </w:p>
    <w:p w14:paraId="4C1A3E0F" w14:textId="77777777" w:rsidR="0092562A" w:rsidRDefault="0092562A">
      <w:pPr>
        <w:rPr>
          <w:sz w:val="36"/>
          <w:szCs w:val="36"/>
        </w:rPr>
      </w:pPr>
      <w:r>
        <w:br w:type="page"/>
      </w:r>
    </w:p>
    <w:p w14:paraId="5A15339A" w14:textId="77777777" w:rsidR="000827D7" w:rsidRDefault="000827D7" w:rsidP="000827D7">
      <w:pPr>
        <w:pStyle w:val="Heading1"/>
      </w:pPr>
      <w:r>
        <w:lastRenderedPageBreak/>
        <w:t xml:space="preserve">Potential areas to consider for 6G channel coding </w:t>
      </w:r>
    </w:p>
    <w:p w14:paraId="7A6979E0" w14:textId="77777777" w:rsidR="000827D7" w:rsidRDefault="000827D7" w:rsidP="000827D7">
      <w:pPr>
        <w:pStyle w:val="Heading2"/>
      </w:pPr>
      <w:r>
        <w:t>Control channel coding</w:t>
      </w:r>
    </w:p>
    <w:p w14:paraId="7A591087" w14:textId="77777777" w:rsidR="00CD6FA3" w:rsidRDefault="00CD6FA3" w:rsidP="00CD6FA3">
      <w:pPr>
        <w:jc w:val="both"/>
      </w:pPr>
      <w:r w:rsidRPr="00CD6FA3">
        <w:t>Looking ahead to sixth</w:t>
      </w:r>
      <w:r w:rsidRPr="00CD6FA3">
        <w:noBreakHyphen/>
        <w:t>generation (6G) systems, numerous studies and standardization reports suggest that the growing complexity and diversity of control signaling—such as cross</w:t>
      </w:r>
      <w:r w:rsidRPr="00CD6FA3">
        <w:noBreakHyphen/>
        <w:t>cell or cross</w:t>
      </w:r>
      <w:r w:rsidRPr="00CD6FA3">
        <w:noBreakHyphen/>
        <w:t>carrier scheduling and more flexible resource configurations—will place increasing demands on DCI formats, likely necessitating larger payload sizes. This evolution will, in turn, intensify the burden on decoder hardware, particularly under the stringent latency and energy</w:t>
      </w:r>
      <w:r w:rsidRPr="00CD6FA3">
        <w:noBreakHyphen/>
        <w:t>efficiency requirements of user equipment (UE).</w:t>
      </w:r>
    </w:p>
    <w:p w14:paraId="5F84A0EE" w14:textId="77777777" w:rsidR="00CD6FA3" w:rsidRPr="00CD6FA3" w:rsidRDefault="00CD6FA3" w:rsidP="00CD6FA3">
      <w:pPr>
        <w:jc w:val="both"/>
      </w:pPr>
    </w:p>
    <w:p w14:paraId="45DBF298" w14:textId="77777777" w:rsidR="00CD6FA3" w:rsidRPr="00CD6FA3" w:rsidRDefault="00CD6FA3" w:rsidP="00CD6FA3">
      <w:pPr>
        <w:jc w:val="both"/>
      </w:pPr>
      <w:r w:rsidRPr="00CD6FA3">
        <w:t xml:space="preserve">Assuming channel quality and noise levels remain constant, larger DCI payloads demand longer codes </w:t>
      </w:r>
      <w:proofErr w:type="gramStart"/>
      <w:r w:rsidRPr="00CD6FA3">
        <w:t>in order to</w:t>
      </w:r>
      <w:proofErr w:type="gramEnd"/>
      <w:r w:rsidRPr="00CD6FA3">
        <w:t xml:space="preserve"> preserve the same overall code rate and error protection. However, commercial UE polar decoders already operate close to their practical hardware limits. This constraint is evident even in 5G NR: more resource elements (REs) may be available than are </w:t>
      </w:r>
      <w:proofErr w:type="gramStart"/>
      <w:r w:rsidRPr="00CD6FA3">
        <w:t>actually utilized</w:t>
      </w:r>
      <w:proofErr w:type="gramEnd"/>
      <w:r w:rsidRPr="00CD6FA3">
        <w:t xml:space="preserve"> by polar codes, yet the code length is typically capped at </w:t>
      </w:r>
      <w:r w:rsidRPr="00CD6FA3">
        <w:rPr>
          <w:b/>
          <w:bCs/>
        </w:rPr>
        <w:t>N = 512</w:t>
      </w:r>
      <w:r w:rsidRPr="00CD6FA3">
        <w:t>. Extending beyond this length would require larger, more power</w:t>
      </w:r>
      <w:r w:rsidRPr="00CD6FA3">
        <w:noBreakHyphen/>
        <w:t>hungry decoding hardware. Instead, the standard relies on repetition</w:t>
      </w:r>
      <w:r w:rsidRPr="00CD6FA3">
        <w:noBreakHyphen/>
        <w:t>based aggregation to boost effective SNR under poor channel conditions. While this technique improves reliability, it falls short of delivering the coding gains achievable with longer polar codes.</w:t>
      </w:r>
    </w:p>
    <w:p w14:paraId="15A44721" w14:textId="77777777" w:rsidR="0092562A" w:rsidRDefault="0092562A" w:rsidP="0092562A">
      <w:pPr>
        <w:jc w:val="both"/>
      </w:pPr>
    </w:p>
    <w:p w14:paraId="60B5A4AB" w14:textId="5834828B" w:rsidR="0092562A" w:rsidRDefault="00CD6FA3" w:rsidP="0092562A">
      <w:pPr>
        <w:jc w:val="both"/>
      </w:pPr>
      <w:r w:rsidRPr="00CD6FA3">
        <w:t xml:space="preserve">To prepare for the larger DCI payloads envisioned in 6G, a straightforward alternative is to partition the payload into multiple segments, with each segment independently encoded, transmitted, and decoded. This technique, known as </w:t>
      </w:r>
      <w:r w:rsidRPr="00CD6FA3">
        <w:rPr>
          <w:b/>
          <w:bCs/>
        </w:rPr>
        <w:t>codeword (or DCI) segmentation</w:t>
      </w:r>
      <w:r w:rsidRPr="00CD6FA3">
        <w:t>, offers practical hardware advantages: a single decoder can be reused across segments—potentially in parallel—thereby limiting additional decoding latency and avoiding the need for higher</w:t>
      </w:r>
      <w:r w:rsidRPr="00CD6FA3">
        <w:noBreakHyphen/>
        <w:t>capacity designs. However, much like aggregation, segmentation sacrifices the coding gains of longer polar codes. Because each segment is processed independently, the system cannot exploit polarization across a larger block, reducing error</w:t>
      </w:r>
      <w:r w:rsidRPr="00CD6FA3">
        <w:noBreakHyphen/>
        <w:t>correction performance.</w:t>
      </w:r>
    </w:p>
    <w:p w14:paraId="6EF3BAAD" w14:textId="77777777" w:rsidR="00CD6FA3" w:rsidRDefault="00CD6FA3" w:rsidP="0092562A">
      <w:pPr>
        <w:jc w:val="both"/>
      </w:pPr>
    </w:p>
    <w:p w14:paraId="5015C3C3" w14:textId="32D4B993" w:rsidR="0092562A" w:rsidRDefault="00CD6FA3" w:rsidP="0092562A">
      <w:pPr>
        <w:jc w:val="both"/>
      </w:pPr>
      <w:r w:rsidRPr="00CD6FA3">
        <w:t>Even the loss of a single polarization layer can incur an SNR degradation of approximately 0.3–0.5 dB—a penalty equivalent to the improvement gained by nearly doubling the list size in an SCL decoder. To offset the degradation, a UE would therefore need to increase its list size accordingly, which nearly doubles both decoder area and power consumption. As a result, the nominal hardware savings of segmentation are effectively offset, undermining its attractiveness as a low</w:t>
      </w:r>
      <w:r w:rsidRPr="00CD6FA3">
        <w:noBreakHyphen/>
        <w:t>complexity solution.</w:t>
      </w:r>
    </w:p>
    <w:p w14:paraId="0CF127EB" w14:textId="43DC1B98" w:rsidR="0092562A" w:rsidRDefault="0092562A" w:rsidP="000827D7">
      <w:pPr>
        <w:jc w:val="both"/>
      </w:pPr>
    </w:p>
    <w:p w14:paraId="3BF0DC67" w14:textId="0F0513B4" w:rsidR="0092562A" w:rsidRDefault="00066FA0" w:rsidP="000827D7">
      <w:pPr>
        <w:jc w:val="both"/>
      </w:pPr>
      <w:r w:rsidRPr="00066FA0">
        <w:t>To address these challenges, we propose a more efficient strategy—</w:t>
      </w:r>
      <w:r w:rsidRPr="00066FA0">
        <w:rPr>
          <w:b/>
          <w:bCs/>
        </w:rPr>
        <w:t>two</w:t>
      </w:r>
      <w:r w:rsidRPr="00066FA0">
        <w:rPr>
          <w:b/>
          <w:bCs/>
        </w:rPr>
        <w:noBreakHyphen/>
        <w:t>stage DCI decoding</w:t>
      </w:r>
      <w:r w:rsidRPr="00066FA0">
        <w:t xml:space="preserve">—which is particularly well suited for the PDCCH. The key idea is to relocate all or part of the RNTI sequence into the first segment and configure this segment for highly reliable decoding, for instance by assigning it a low code rate. The UE first decodes this initial segment, checks the estimated bits against its RNTI sequence(s), and then decides whether decoding the subsequent segment is warranted (see </w:t>
      </w:r>
      <w:r w:rsidRPr="0092562A">
        <w:fldChar w:fldCharType="begin"/>
      </w:r>
      <w:r w:rsidRPr="0092562A">
        <w:instrText xml:space="preserve"> REF _Ref209768679 \h  \* MERGEFORMAT </w:instrText>
      </w:r>
      <w:r w:rsidRPr="0092562A">
        <w:fldChar w:fldCharType="separate"/>
      </w:r>
      <w:r w:rsidRPr="0092562A">
        <w:t xml:space="preserve">Figure </w:t>
      </w:r>
      <w:r w:rsidRPr="001D4353">
        <w:rPr>
          <w:noProof/>
        </w:rPr>
        <w:t>1</w:t>
      </w:r>
      <w:r w:rsidRPr="0092562A">
        <w:fldChar w:fldCharType="end"/>
      </w:r>
      <w:r w:rsidRPr="00066FA0">
        <w:t>). By structuring decoding in two stages, blind detection is effectively decoupled from full DCI decoding, allowing the UE to apply more advanced algorithms to the second segment. Since the secondary stage is only activated when the UE detects valid DCI, its added complexity has minimal impact on average. Moreover, this design facilitates the use of iterative decoding methods, such as successive cancellation flip decoding, which are typically impractical for blind detection because their iterative search for CRC</w:t>
      </w:r>
      <w:r w:rsidRPr="00066FA0">
        <w:noBreakHyphen/>
        <w:t>valid candidates becomes prohibitively costly for invalid PDCCH candidates.</w:t>
      </w:r>
    </w:p>
    <w:p w14:paraId="2A3E15E0" w14:textId="77777777" w:rsidR="0092562A" w:rsidRDefault="0092562A" w:rsidP="000827D7">
      <w:pPr>
        <w:jc w:val="both"/>
      </w:pPr>
    </w:p>
    <w:p w14:paraId="2120B97D" w14:textId="77777777" w:rsidR="0092562A" w:rsidRDefault="0092562A" w:rsidP="000827D7">
      <w:pPr>
        <w:jc w:val="both"/>
      </w:pPr>
    </w:p>
    <w:p w14:paraId="52CF4627" w14:textId="77777777" w:rsidR="0092562A" w:rsidRDefault="0092562A" w:rsidP="000827D7">
      <w:pPr>
        <w:jc w:val="both"/>
      </w:pPr>
    </w:p>
    <w:p w14:paraId="7DC3B1FB" w14:textId="77777777" w:rsidR="0092562A" w:rsidRDefault="0092562A" w:rsidP="000827D7">
      <w:pPr>
        <w:jc w:val="both"/>
      </w:pPr>
    </w:p>
    <w:p w14:paraId="45427F2E" w14:textId="77777777" w:rsidR="0092562A" w:rsidRDefault="0092562A" w:rsidP="000827D7">
      <w:pPr>
        <w:jc w:val="both"/>
      </w:pPr>
    </w:p>
    <w:p w14:paraId="5E164CD9" w14:textId="1A101D8A" w:rsidR="0092562A" w:rsidRDefault="0092562A" w:rsidP="0092562A">
      <w:pPr>
        <w:jc w:val="both"/>
      </w:pPr>
      <w:r>
        <w:rPr>
          <w:noProof/>
        </w:rPr>
        <mc:AlternateContent>
          <mc:Choice Requires="wps">
            <w:drawing>
              <wp:anchor distT="0" distB="0" distL="114300" distR="114300" simplePos="0" relativeHeight="251660288" behindDoc="0" locked="0" layoutInCell="1" allowOverlap="1" wp14:anchorId="38E50FA6" wp14:editId="1E278029">
                <wp:simplePos x="0" y="0"/>
                <wp:positionH relativeFrom="column">
                  <wp:posOffset>612906</wp:posOffset>
                </wp:positionH>
                <wp:positionV relativeFrom="paragraph">
                  <wp:posOffset>2842260</wp:posOffset>
                </wp:positionV>
                <wp:extent cx="4733925" cy="635"/>
                <wp:effectExtent l="0" t="0" r="3175" b="0"/>
                <wp:wrapTopAndBottom/>
                <wp:docPr id="1701214647" name="Text Box 1"/>
                <wp:cNvGraphicFramePr/>
                <a:graphic xmlns:a="http://schemas.openxmlformats.org/drawingml/2006/main">
                  <a:graphicData uri="http://schemas.microsoft.com/office/word/2010/wordprocessingShape">
                    <wps:wsp>
                      <wps:cNvSpPr txBox="1"/>
                      <wps:spPr>
                        <a:xfrm>
                          <a:off x="0" y="0"/>
                          <a:ext cx="4733925" cy="635"/>
                        </a:xfrm>
                        <a:prstGeom prst="rect">
                          <a:avLst/>
                        </a:prstGeom>
                        <a:solidFill>
                          <a:prstClr val="white"/>
                        </a:solidFill>
                        <a:ln>
                          <a:noFill/>
                        </a:ln>
                      </wps:spPr>
                      <wps:txbx>
                        <w:txbxContent>
                          <w:p w14:paraId="56B0EA8B" w14:textId="1F1F8D03" w:rsidR="0092562A" w:rsidRPr="0092562A" w:rsidRDefault="0092562A" w:rsidP="0092562A">
                            <w:pPr>
                              <w:pStyle w:val="Caption"/>
                              <w:rPr>
                                <w:b w:val="0"/>
                                <w:bCs w:val="0"/>
                              </w:rPr>
                            </w:pPr>
                            <w:bookmarkStart w:id="0" w:name="_Ref209768679"/>
                            <w:r w:rsidRPr="0092562A">
                              <w:rPr>
                                <w:b w:val="0"/>
                                <w:bCs w:val="0"/>
                              </w:rPr>
                              <w:t xml:space="preserve">Figure </w:t>
                            </w:r>
                            <w:r w:rsidRPr="0092562A">
                              <w:rPr>
                                <w:b w:val="0"/>
                                <w:bCs w:val="0"/>
                              </w:rPr>
                              <w:fldChar w:fldCharType="begin"/>
                            </w:r>
                            <w:r w:rsidRPr="0092562A">
                              <w:rPr>
                                <w:b w:val="0"/>
                                <w:bCs w:val="0"/>
                              </w:rPr>
                              <w:instrText xml:space="preserve"> SEQ Figure \* ARABIC </w:instrText>
                            </w:r>
                            <w:r w:rsidRPr="0092562A">
                              <w:rPr>
                                <w:b w:val="0"/>
                                <w:bCs w:val="0"/>
                              </w:rPr>
                              <w:fldChar w:fldCharType="separate"/>
                            </w:r>
                            <w:r w:rsidR="00612C03">
                              <w:rPr>
                                <w:b w:val="0"/>
                                <w:bCs w:val="0"/>
                                <w:noProof/>
                              </w:rPr>
                              <w:t>1</w:t>
                            </w:r>
                            <w:r w:rsidRPr="0092562A">
                              <w:rPr>
                                <w:b w:val="0"/>
                                <w:bCs w:val="0"/>
                              </w:rPr>
                              <w:fldChar w:fldCharType="end"/>
                            </w:r>
                            <w:bookmarkEnd w:id="0"/>
                            <w:r w:rsidRPr="0092562A">
                              <w:rPr>
                                <w:b w:val="0"/>
                                <w:bCs w:val="0"/>
                              </w:rPr>
                              <w:t>. Illustration of the proposed two-stage decoding scheme for 6G control channel coding, where blind detection and DCI decoding are decoupled to enable early termination and complexity reduction.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8E50FA6" id="_x0000_t202" coordsize="21600,21600" o:spt="202" path="m,l,21600r21600,l21600,xe">
                <v:stroke joinstyle="miter"/>
                <v:path gradientshapeok="t" o:connecttype="rect"/>
              </v:shapetype>
              <v:shape id="Text Box 1" o:spid="_x0000_s1026" type="#_x0000_t202" style="position:absolute;left:0;text-align:left;margin-left:48.25pt;margin-top:223.8pt;width:372.75pt;height:.0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" stroked="f">
                <v:textbox style="mso-fit-shape-to-text:t" inset="0,0,0,0">
                  <w:txbxContent>
                    <w:p w14:paraId="56B0EA8B" w14:textId="1F1F8D03" w:rsidR="0092562A" w:rsidRPr="0092562A" w:rsidRDefault="0092562A" w:rsidP="0092562A">
                      <w:pPr>
                        <w:pStyle w:val="Caption"/>
                        <w:rPr>
                          <w:b w:val="0"/>
                          <w:bCs w:val="0"/>
                        </w:rPr>
                      </w:pPr>
                      <w:bookmarkStart w:id="1" w:name="_Ref209768679"/>
                      <w:r w:rsidRPr="0092562A">
                        <w:rPr>
                          <w:b w:val="0"/>
                          <w:bCs w:val="0"/>
                        </w:rPr>
                        <w:t xml:space="preserve">Figure </w:t>
                      </w:r>
                      <w:r w:rsidRPr="0092562A">
                        <w:rPr>
                          <w:b w:val="0"/>
                          <w:bCs w:val="0"/>
                        </w:rPr>
                        <w:fldChar w:fldCharType="begin"/>
                      </w:r>
                      <w:r w:rsidRPr="0092562A">
                        <w:rPr>
                          <w:b w:val="0"/>
                          <w:bCs w:val="0"/>
                        </w:rPr>
                        <w:instrText xml:space="preserve"> SEQ Figure \* ARABIC </w:instrText>
                      </w:r>
                      <w:r w:rsidRPr="0092562A">
                        <w:rPr>
                          <w:b w:val="0"/>
                          <w:bCs w:val="0"/>
                        </w:rPr>
                        <w:fldChar w:fldCharType="separate"/>
                      </w:r>
                      <w:r w:rsidR="00612C03">
                        <w:rPr>
                          <w:b w:val="0"/>
                          <w:bCs w:val="0"/>
                          <w:noProof/>
                        </w:rPr>
                        <w:t>1</w:t>
                      </w:r>
                      <w:r w:rsidRPr="0092562A">
                        <w:rPr>
                          <w:b w:val="0"/>
                          <w:bCs w:val="0"/>
                        </w:rPr>
                        <w:fldChar w:fldCharType="end"/>
                      </w:r>
                      <w:bookmarkEnd w:id="1"/>
                      <w:r w:rsidRPr="0092562A">
                        <w:rPr>
                          <w:b w:val="0"/>
                          <w:bCs w:val="0"/>
                        </w:rPr>
                        <w:t>. Illustration of the proposed two-stage decoding scheme for 6G control channel coding, where blind detection and DCI decoding are decoupled to enable early termination and complexity reduction.</w:t>
                      </w:r>
                    </w:p>
                  </w:txbxContent>
                </v:textbox>
                <w10:wrap type="topAndBottom"/>
              </v:shape>
            </w:pict>
          </mc:Fallback>
        </mc:AlternateContent>
      </w:r>
      <w:r w:rsidRPr="0092562A">
        <w:rPr>
          <w:noProof/>
        </w:rPr>
        <w:drawing>
          <wp:anchor distT="0" distB="0" distL="114300" distR="114300" simplePos="0" relativeHeight="251658240" behindDoc="0" locked="0" layoutInCell="1" allowOverlap="1" wp14:anchorId="2C8B63A5" wp14:editId="0E0C3A01">
            <wp:simplePos x="0" y="0"/>
            <wp:positionH relativeFrom="margin">
              <wp:posOffset>608965</wp:posOffset>
            </wp:positionH>
            <wp:positionV relativeFrom="paragraph">
              <wp:posOffset>-427</wp:posOffset>
            </wp:positionV>
            <wp:extent cx="4896485" cy="2785929"/>
            <wp:effectExtent l="0" t="0" r="5715" b="0"/>
            <wp:wrapTopAndBottom/>
            <wp:docPr id="1246420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420566" name=""/>
                    <pic:cNvPicPr/>
                  </pic:nvPicPr>
                  <pic:blipFill rotWithShape="1">
                    <a:blip r:embed="rId8"/>
                    <a:srcRect r="19998" b="19079"/>
                    <a:stretch>
                      <a:fillRect/>
                    </a:stretch>
                  </pic:blipFill>
                  <pic:spPr bwMode="auto">
                    <a:xfrm>
                      <a:off x="0" y="0"/>
                      <a:ext cx="4896485" cy="27859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2BFC95" w14:textId="3EA75C9A" w:rsidR="0092562A" w:rsidRDefault="0092562A" w:rsidP="0092562A">
      <w:pPr>
        <w:rPr>
          <w:i/>
          <w:iCs/>
        </w:rPr>
      </w:pPr>
      <w:r w:rsidRPr="00B37E4E">
        <w:rPr>
          <w:b/>
          <w:bCs/>
          <w:i/>
          <w:iCs/>
          <w:u w:val="single"/>
        </w:rPr>
        <w:t xml:space="preserve">Proposal </w:t>
      </w:r>
      <w:r>
        <w:rPr>
          <w:b/>
          <w:bCs/>
          <w:i/>
          <w:iCs/>
          <w:u w:val="single"/>
        </w:rPr>
        <w:t>1</w:t>
      </w:r>
      <w:r w:rsidRPr="00B37E4E">
        <w:rPr>
          <w:b/>
          <w:bCs/>
          <w:i/>
          <w:iCs/>
        </w:rPr>
        <w:t>:</w:t>
      </w:r>
      <w:r w:rsidRPr="00B37E4E">
        <w:rPr>
          <w:i/>
          <w:iCs/>
        </w:rPr>
        <w:t xml:space="preserve"> </w:t>
      </w:r>
      <w:r w:rsidRPr="0092562A">
        <w:rPr>
          <w:i/>
          <w:iCs/>
        </w:rPr>
        <w:t xml:space="preserve">It is proposed to enable two-stage decoding by relocating all or part of the RNTI to the leading segment, </w:t>
      </w:r>
      <w:proofErr w:type="gramStart"/>
      <w:r w:rsidRPr="0092562A">
        <w:rPr>
          <w:i/>
          <w:iCs/>
        </w:rPr>
        <w:t>in order to</w:t>
      </w:r>
      <w:proofErr w:type="gramEnd"/>
      <w:r w:rsidRPr="0092562A">
        <w:rPr>
          <w:i/>
          <w:iCs/>
        </w:rPr>
        <w:t xml:space="preserve"> reduce blind decoding complexity and power consumption for longer DCI payloads.</w:t>
      </w:r>
    </w:p>
    <w:p w14:paraId="5DC7A4A4" w14:textId="77777777" w:rsidR="0092562A" w:rsidRDefault="0092562A" w:rsidP="000827D7">
      <w:pPr>
        <w:jc w:val="both"/>
      </w:pPr>
    </w:p>
    <w:p w14:paraId="6B718C9B" w14:textId="27360B84" w:rsidR="0092562A" w:rsidRDefault="0092562A" w:rsidP="0092562A">
      <w:pPr>
        <w:jc w:val="both"/>
      </w:pPr>
      <w:r w:rsidRPr="0092562A">
        <w:t xml:space="preserve">While segmentation combined with two-stage decoding reduces overall decoding complexity, segmentation alone sacrifices the coding gain that could be achieved with longer polar codes. To address this limitation, we propose an </w:t>
      </w:r>
      <w:r w:rsidRPr="0092562A">
        <w:rPr>
          <w:b/>
          <w:bCs/>
        </w:rPr>
        <w:t>inter-segment coding design based on partial polarization</w:t>
      </w:r>
      <w:r w:rsidRPr="0092562A">
        <w:t>. This additional coding layer recovers much of the lost coding gain by introducing controlled coupling across the segments. Partial polarization provides the required flexibility by rebalancing the synthesized bit-channel capacities such that the leading segment preserves a minimum code rate.</w:t>
      </w:r>
    </w:p>
    <w:p w14:paraId="4DC07581" w14:textId="77777777" w:rsidR="0092562A" w:rsidRDefault="0092562A" w:rsidP="000827D7">
      <w:pPr>
        <w:jc w:val="both"/>
      </w:pPr>
    </w:p>
    <w:p w14:paraId="350D41BF" w14:textId="71B2F42E" w:rsidR="0092562A" w:rsidRDefault="0092562A" w:rsidP="0092562A">
      <w:pPr>
        <w:jc w:val="both"/>
      </w:pPr>
      <w:r>
        <w:t>We realize inter-segment coding by inserting a polarization-like layer, analogous to the final stage of a length-</w:t>
      </w:r>
      <m:oMath>
        <m:r>
          <w:rPr>
            <w:rFonts w:ascii="Cambria Math" w:hAnsi="Cambria Math"/>
          </w:rPr>
          <m:t>N</m:t>
        </m:r>
      </m:oMath>
      <w:r>
        <w:t xml:space="preserve"> polar transform spanning all segments. In a standard polar code of length </w:t>
      </w:r>
      <m:oMath>
        <m:r>
          <w:rPr>
            <w:rFonts w:ascii="Cambria Math" w:hAnsi="Cambria Math"/>
          </w:rPr>
          <m:t>N</m:t>
        </m:r>
      </m:oMath>
      <w:r>
        <w:t xml:space="preserve">, the last polarization layer applies </w:t>
      </w:r>
      <m:oMath>
        <m:r>
          <w:rPr>
            <w:rFonts w:ascii="Cambria Math" w:hAnsi="Cambria Math"/>
          </w:rPr>
          <m:t>N/2</m:t>
        </m:r>
      </m:oMath>
      <w:r>
        <w:t xml:space="preserve"> XOR operations, where N is the combined length of all segments. In contrast, a partial inter-segment polarization layer applies </w:t>
      </w:r>
      <w:r w:rsidRPr="0092562A">
        <w:t xml:space="preserve">only </w:t>
      </w:r>
      <m:oMath>
        <m:r>
          <w:rPr>
            <w:rFonts w:ascii="Cambria Math" w:hAnsi="Cambria Math"/>
          </w:rPr>
          <m:t>τN/2</m:t>
        </m:r>
      </m:oMath>
      <w:r w:rsidRPr="0092562A">
        <w:t xml:space="preserve"> XOR operations, with </w:t>
      </w:r>
      <m:oMath>
        <m:r>
          <w:rPr>
            <w:rFonts w:ascii="Cambria Math" w:hAnsi="Cambria Math"/>
          </w:rPr>
          <m:t xml:space="preserve">0 </m:t>
        </m:r>
        <m:r>
          <w:rPr>
            <w:rFonts w:ascii="Cambria Math" w:hAnsi="Cambria Math" w:cs="Cambria Math"/>
          </w:rPr>
          <m:t>⩽</m:t>
        </m:r>
        <m:r>
          <w:rPr>
            <w:rFonts w:ascii="Cambria Math" w:hAnsi="Cambria Math"/>
          </w:rPr>
          <m:t xml:space="preserve"> τ </m:t>
        </m:r>
        <m:r>
          <w:rPr>
            <w:rFonts w:ascii="Cambria Math" w:hAnsi="Cambria Math" w:cs="Cambria Math"/>
          </w:rPr>
          <m:t>⩽</m:t>
        </m:r>
        <m:r>
          <w:rPr>
            <w:rFonts w:ascii="Cambria Math" w:hAnsi="Cambria Math"/>
          </w:rPr>
          <m:t xml:space="preserve"> 1</m:t>
        </m:r>
      </m:oMath>
      <w:r w:rsidRPr="0092562A">
        <w:t xml:space="preserve"> denoting the partial polarization ratio. </w:t>
      </w:r>
      <w:r w:rsidRPr="0092562A">
        <w:fldChar w:fldCharType="begin"/>
      </w:r>
      <w:r w:rsidRPr="0092562A">
        <w:instrText xml:space="preserve"> REF _Ref209769779 \h  \* MERGEFORMAT </w:instrText>
      </w:r>
      <w:r w:rsidRPr="0092562A">
        <w:fldChar w:fldCharType="separate"/>
      </w:r>
      <w:r w:rsidR="001D4353" w:rsidRPr="0092562A">
        <w:t xml:space="preserve">Figure </w:t>
      </w:r>
      <w:r w:rsidR="001D4353" w:rsidRPr="001D4353">
        <w:rPr>
          <w:noProof/>
        </w:rPr>
        <w:t>2</w:t>
      </w:r>
      <w:r w:rsidRPr="0092562A">
        <w:fldChar w:fldCharType="end"/>
      </w:r>
      <w:r>
        <w:t xml:space="preserve"> </w:t>
      </w:r>
      <w:r w:rsidRPr="0092562A">
        <w:t>illustrates</w:t>
      </w:r>
      <w:r>
        <w:t xml:space="preserve"> the construction for two segments. When </w:t>
      </w:r>
      <m:oMath>
        <m:r>
          <w:rPr>
            <w:rFonts w:ascii="Cambria Math" w:hAnsi="Cambria Math"/>
          </w:rPr>
          <m:t>τ = 0</m:t>
        </m:r>
      </m:oMath>
      <w:r>
        <w:t xml:space="preserve">, no XOR operations are performed, and the segments remain independent. When </w:t>
      </w:r>
      <m:oMath>
        <m:r>
          <w:rPr>
            <w:rFonts w:ascii="Cambria Math" w:hAnsi="Cambria Math"/>
          </w:rPr>
          <m:t>τ = 1</m:t>
        </m:r>
      </m:oMath>
      <w:r>
        <w:t xml:space="preserve">, all </w:t>
      </w:r>
      <m:oMath>
        <m:r>
          <w:rPr>
            <w:rFonts w:ascii="Cambria Math" w:hAnsi="Cambria Math"/>
          </w:rPr>
          <m:t>N/2</m:t>
        </m:r>
      </m:oMath>
      <w:r>
        <w:t xml:space="preserve"> operations are applied, recovering the full polar transform and its maximum capacity polarization. Intermediate values (e.g., </w:t>
      </w:r>
      <m:oMath>
        <m:r>
          <w:rPr>
            <w:rFonts w:ascii="Cambria Math" w:hAnsi="Cambria Math"/>
          </w:rPr>
          <m:t>τ =1/2</m:t>
        </m:r>
      </m:oMath>
      <w:r>
        <w:t>) introduce dependencies for only a fraction of the coded bits in each segment, thereby re-balancing capacity across segments</w:t>
      </w:r>
    </w:p>
    <w:p w14:paraId="0F0EB16E" w14:textId="77777777" w:rsidR="0092562A" w:rsidRDefault="0092562A" w:rsidP="000827D7">
      <w:pPr>
        <w:jc w:val="both"/>
      </w:pPr>
    </w:p>
    <w:p w14:paraId="3E5749DA" w14:textId="6F84051B" w:rsidR="0092562A" w:rsidRPr="0092562A" w:rsidRDefault="0092562A" w:rsidP="0092562A">
      <w:pPr>
        <w:jc w:val="both"/>
        <w:rPr>
          <w:bCs/>
        </w:rPr>
      </w:pPr>
      <w:r w:rsidRPr="0092562A">
        <w:rPr>
          <w:bCs/>
        </w:rPr>
        <w:t>Blind decoding at the UE is computationally demanding,</w:t>
      </w:r>
      <w:r>
        <w:rPr>
          <w:bCs/>
        </w:rPr>
        <w:t xml:space="preserve"> </w:t>
      </w:r>
      <w:r w:rsidRPr="0092562A">
        <w:rPr>
          <w:bCs/>
        </w:rPr>
        <w:t>as up to 44 PDCCH candidates may need to be decoded in</w:t>
      </w:r>
      <w:r>
        <w:rPr>
          <w:bCs/>
        </w:rPr>
        <w:t xml:space="preserve"> </w:t>
      </w:r>
      <w:r w:rsidRPr="0092562A">
        <w:rPr>
          <w:bCs/>
        </w:rPr>
        <w:t>5G-NR, most of which do not carry valid DCI for the UE.</w:t>
      </w:r>
      <w:r>
        <w:rPr>
          <w:bCs/>
        </w:rPr>
        <w:t xml:space="preserve"> </w:t>
      </w:r>
      <w:r w:rsidRPr="0092562A">
        <w:rPr>
          <w:bCs/>
        </w:rPr>
        <w:t>Two-stage decoding reduces this complexity by enabling early</w:t>
      </w:r>
      <w:r>
        <w:rPr>
          <w:bCs/>
        </w:rPr>
        <w:t xml:space="preserve"> </w:t>
      </w:r>
      <w:r w:rsidRPr="0092562A">
        <w:rPr>
          <w:bCs/>
        </w:rPr>
        <w:t>termination after decoding only a fraction of the message. In</w:t>
      </w:r>
      <w:r>
        <w:rPr>
          <w:bCs/>
        </w:rPr>
        <w:t xml:space="preserve"> </w:t>
      </w:r>
      <w:r w:rsidRPr="0092562A">
        <w:rPr>
          <w:bCs/>
        </w:rPr>
        <w:t>5G NR, the RNTI length is 16 bits. For two-stage decoding</w:t>
      </w:r>
      <w:r>
        <w:rPr>
          <w:bCs/>
        </w:rPr>
        <w:t xml:space="preserve"> </w:t>
      </w:r>
      <w:r w:rsidRPr="0092562A">
        <w:rPr>
          <w:bCs/>
        </w:rPr>
        <w:t>to provide meaningful early</w:t>
      </w:r>
      <w:r>
        <w:rPr>
          <w:bCs/>
        </w:rPr>
        <w:t>-</w:t>
      </w:r>
      <w:r w:rsidRPr="0092562A">
        <w:rPr>
          <w:bCs/>
        </w:rPr>
        <w:t>termination opportunities, the first</w:t>
      </w:r>
      <w:r>
        <w:rPr>
          <w:bCs/>
        </w:rPr>
        <w:t xml:space="preserve"> </w:t>
      </w:r>
      <w:r w:rsidRPr="0092562A">
        <w:rPr>
          <w:bCs/>
        </w:rPr>
        <w:t>segment must carry a sufficient portion (often all) of the RNTI</w:t>
      </w:r>
    </w:p>
    <w:p w14:paraId="0F505990" w14:textId="504C5FA4" w:rsidR="0092562A" w:rsidRPr="0092562A" w:rsidRDefault="0092562A" w:rsidP="0092562A">
      <w:pPr>
        <w:jc w:val="both"/>
        <w:rPr>
          <w:bCs/>
        </w:rPr>
      </w:pPr>
      <w:r w:rsidRPr="0092562A">
        <w:rPr>
          <w:bCs/>
        </w:rPr>
        <w:t>sequence, which imposes a minimum code-rate requirement on the leading segment.</w:t>
      </w:r>
    </w:p>
    <w:p w14:paraId="03049095" w14:textId="77777777" w:rsidR="0092562A" w:rsidRDefault="0092562A" w:rsidP="000827D7">
      <w:pPr>
        <w:jc w:val="both"/>
      </w:pPr>
    </w:p>
    <w:p w14:paraId="53A9D9CD" w14:textId="6F4ED291" w:rsidR="0092562A" w:rsidRDefault="00622FDD" w:rsidP="000827D7">
      <w:pPr>
        <w:jc w:val="both"/>
      </w:pPr>
      <w:r>
        <w:rPr>
          <w:noProof/>
        </w:rPr>
        <w:lastRenderedPageBreak/>
        <w:drawing>
          <wp:anchor distT="0" distB="0" distL="114300" distR="114300" simplePos="0" relativeHeight="251661312" behindDoc="0" locked="0" layoutInCell="1" allowOverlap="1" wp14:anchorId="3BFE91EB" wp14:editId="3A576968">
            <wp:simplePos x="0" y="0"/>
            <wp:positionH relativeFrom="margin">
              <wp:align>center</wp:align>
            </wp:positionH>
            <wp:positionV relativeFrom="paragraph">
              <wp:posOffset>0</wp:posOffset>
            </wp:positionV>
            <wp:extent cx="5280025" cy="3187065"/>
            <wp:effectExtent l="0" t="0" r="3175" b="635"/>
            <wp:wrapTopAndBottom/>
            <wp:docPr id="2489543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4399" name="Picture 248954399"/>
                    <pic:cNvPicPr/>
                  </pic:nvPicPr>
                  <pic:blipFill rotWithShape="1">
                    <a:blip r:embed="rId9"/>
                    <a:srcRect r="13715" b="7418"/>
                    <a:stretch>
                      <a:fillRect/>
                    </a:stretch>
                  </pic:blipFill>
                  <pic:spPr bwMode="auto">
                    <a:xfrm>
                      <a:off x="0" y="0"/>
                      <a:ext cx="5280025" cy="31870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2562A">
        <w:rPr>
          <w:noProof/>
        </w:rPr>
        <mc:AlternateContent>
          <mc:Choice Requires="wps">
            <w:drawing>
              <wp:anchor distT="0" distB="0" distL="114300" distR="114300" simplePos="0" relativeHeight="251663360" behindDoc="0" locked="0" layoutInCell="1" allowOverlap="1" wp14:anchorId="41528937" wp14:editId="2F80B989">
                <wp:simplePos x="0" y="0"/>
                <wp:positionH relativeFrom="column">
                  <wp:posOffset>809198</wp:posOffset>
                </wp:positionH>
                <wp:positionV relativeFrom="paragraph">
                  <wp:posOffset>3244215</wp:posOffset>
                </wp:positionV>
                <wp:extent cx="4759325" cy="635"/>
                <wp:effectExtent l="0" t="0" r="3175" b="0"/>
                <wp:wrapTopAndBottom/>
                <wp:docPr id="745768691" name="Text Box 1"/>
                <wp:cNvGraphicFramePr/>
                <a:graphic xmlns:a="http://schemas.openxmlformats.org/drawingml/2006/main">
                  <a:graphicData uri="http://schemas.microsoft.com/office/word/2010/wordprocessingShape">
                    <wps:wsp>
                      <wps:cNvSpPr txBox="1"/>
                      <wps:spPr>
                        <a:xfrm>
                          <a:off x="0" y="0"/>
                          <a:ext cx="4759325" cy="635"/>
                        </a:xfrm>
                        <a:prstGeom prst="rect">
                          <a:avLst/>
                        </a:prstGeom>
                        <a:solidFill>
                          <a:prstClr val="white"/>
                        </a:solidFill>
                        <a:ln>
                          <a:noFill/>
                        </a:ln>
                      </wps:spPr>
                      <wps:txbx>
                        <w:txbxContent>
                          <w:p w14:paraId="0A743597" w14:textId="184CD2E9" w:rsidR="0092562A" w:rsidRPr="0092562A" w:rsidRDefault="0092562A" w:rsidP="0092562A">
                            <w:pPr>
                              <w:pStyle w:val="Caption"/>
                              <w:rPr>
                                <w:b w:val="0"/>
                                <w:bCs w:val="0"/>
                              </w:rPr>
                            </w:pPr>
                            <w:bookmarkStart w:id="1" w:name="_Ref209769779"/>
                            <w:r w:rsidRPr="0092562A">
                              <w:rPr>
                                <w:b w:val="0"/>
                                <w:bCs w:val="0"/>
                              </w:rPr>
                              <w:t xml:space="preserve">Figure </w:t>
                            </w:r>
                            <w:r w:rsidRPr="0092562A">
                              <w:rPr>
                                <w:b w:val="0"/>
                                <w:bCs w:val="0"/>
                              </w:rPr>
                              <w:fldChar w:fldCharType="begin"/>
                            </w:r>
                            <w:r w:rsidRPr="0092562A">
                              <w:rPr>
                                <w:b w:val="0"/>
                                <w:bCs w:val="0"/>
                              </w:rPr>
                              <w:instrText xml:space="preserve"> SEQ Figure \* ARABIC </w:instrText>
                            </w:r>
                            <w:r w:rsidRPr="0092562A">
                              <w:rPr>
                                <w:b w:val="0"/>
                                <w:bCs w:val="0"/>
                              </w:rPr>
                              <w:fldChar w:fldCharType="separate"/>
                            </w:r>
                            <w:r w:rsidR="00612C03">
                              <w:rPr>
                                <w:b w:val="0"/>
                                <w:bCs w:val="0"/>
                                <w:noProof/>
                              </w:rPr>
                              <w:t>2</w:t>
                            </w:r>
                            <w:r w:rsidRPr="0092562A">
                              <w:rPr>
                                <w:b w:val="0"/>
                                <w:bCs w:val="0"/>
                              </w:rPr>
                              <w:fldChar w:fldCharType="end"/>
                            </w:r>
                            <w:bookmarkEnd w:id="1"/>
                            <w:r w:rsidRPr="0092562A">
                              <w:rPr>
                                <w:b w:val="0"/>
                                <w:bCs w:val="0"/>
                              </w:rPr>
                              <w:t xml:space="preserve">. </w:t>
                            </w:r>
                            <w:r>
                              <w:rPr>
                                <w:b w:val="0"/>
                                <w:bCs w:val="0"/>
                              </w:rPr>
                              <w:t>T</w:t>
                            </w:r>
                            <w:r w:rsidRPr="0092562A">
                              <w:rPr>
                                <w:b w:val="0"/>
                                <w:bCs w:val="0"/>
                              </w:rPr>
                              <w:t>wo-stage decoding with partially polarized inter-segment coding. Channel LLRs are first pre-processed using</w:t>
                            </w:r>
                            <w:r>
                              <w:rPr>
                                <w:b w:val="0"/>
                                <w:bCs w:val="0"/>
                              </w:rPr>
                              <w:t xml:space="preserve"> </w:t>
                            </w:r>
                            <w:r w:rsidRPr="0092562A">
                              <w:rPr>
                                <w:b w:val="0"/>
                                <w:bCs w:val="0"/>
                              </w:rPr>
                              <w:t>F operations to generate the input for the first decoder. After</w:t>
                            </w:r>
                            <w:r>
                              <w:rPr>
                                <w:b w:val="0"/>
                                <w:bCs w:val="0"/>
                              </w:rPr>
                              <w:t xml:space="preserve"> </w:t>
                            </w:r>
                            <w:r w:rsidRPr="0092562A">
                              <w:rPr>
                                <w:b w:val="0"/>
                                <w:bCs w:val="0"/>
                              </w:rPr>
                              <w:t>the first decoding stage, G operations combine the results to</w:t>
                            </w:r>
                            <w:r>
                              <w:rPr>
                                <w:b w:val="0"/>
                                <w:bCs w:val="0"/>
                              </w:rPr>
                              <w:t xml:space="preserve"> </w:t>
                            </w:r>
                            <w:r w:rsidRPr="0092562A">
                              <w:rPr>
                                <w:b w:val="0"/>
                                <w:bCs w:val="0"/>
                              </w:rPr>
                              <w:t>construct the synthesized LLRs for the second decoder.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1528937" id="_x0000_s1027" type="#_x0000_t202" style="position:absolute;left:0;text-align:left;margin-left:63.7pt;margin-top:255.45pt;width:374.75pt;height:.0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" stroked="f">
                <v:textbox style="mso-fit-shape-to-text:t" inset="0,0,0,0">
                  <w:txbxContent>
                    <w:p w14:paraId="0A743597" w14:textId="184CD2E9" w:rsidR="0092562A" w:rsidRPr="0092562A" w:rsidRDefault="0092562A" w:rsidP="0092562A">
                      <w:pPr>
                        <w:pStyle w:val="Caption"/>
                        <w:rPr>
                          <w:b w:val="0"/>
                          <w:bCs w:val="0"/>
                        </w:rPr>
                      </w:pPr>
                      <w:bookmarkStart w:id="3" w:name="_Ref209769779"/>
                      <w:r w:rsidRPr="0092562A">
                        <w:rPr>
                          <w:b w:val="0"/>
                          <w:bCs w:val="0"/>
                        </w:rPr>
                        <w:t xml:space="preserve">Figure </w:t>
                      </w:r>
                      <w:r w:rsidRPr="0092562A">
                        <w:rPr>
                          <w:b w:val="0"/>
                          <w:bCs w:val="0"/>
                        </w:rPr>
                        <w:fldChar w:fldCharType="begin"/>
                      </w:r>
                      <w:r w:rsidRPr="0092562A">
                        <w:rPr>
                          <w:b w:val="0"/>
                          <w:bCs w:val="0"/>
                        </w:rPr>
                        <w:instrText xml:space="preserve"> SEQ Figure \* ARABIC </w:instrText>
                      </w:r>
                      <w:r w:rsidRPr="0092562A">
                        <w:rPr>
                          <w:b w:val="0"/>
                          <w:bCs w:val="0"/>
                        </w:rPr>
                        <w:fldChar w:fldCharType="separate"/>
                      </w:r>
                      <w:r w:rsidR="00612C03">
                        <w:rPr>
                          <w:b w:val="0"/>
                          <w:bCs w:val="0"/>
                          <w:noProof/>
                        </w:rPr>
                        <w:t>2</w:t>
                      </w:r>
                      <w:r w:rsidRPr="0092562A">
                        <w:rPr>
                          <w:b w:val="0"/>
                          <w:bCs w:val="0"/>
                        </w:rPr>
                        <w:fldChar w:fldCharType="end"/>
                      </w:r>
                      <w:bookmarkEnd w:id="3"/>
                      <w:r w:rsidRPr="0092562A">
                        <w:rPr>
                          <w:b w:val="0"/>
                          <w:bCs w:val="0"/>
                        </w:rPr>
                        <w:t xml:space="preserve">. </w:t>
                      </w:r>
                      <w:r>
                        <w:rPr>
                          <w:b w:val="0"/>
                          <w:bCs w:val="0"/>
                        </w:rPr>
                        <w:t>T</w:t>
                      </w:r>
                      <w:r w:rsidRPr="0092562A">
                        <w:rPr>
                          <w:b w:val="0"/>
                          <w:bCs w:val="0"/>
                        </w:rPr>
                        <w:t>wo-stage decoding with partially polarized inter-segment coding. Channel LLRs are first pre-processed using</w:t>
                      </w:r>
                      <w:r>
                        <w:rPr>
                          <w:b w:val="0"/>
                          <w:bCs w:val="0"/>
                        </w:rPr>
                        <w:t xml:space="preserve"> </w:t>
                      </w:r>
                      <w:r w:rsidRPr="0092562A">
                        <w:rPr>
                          <w:b w:val="0"/>
                          <w:bCs w:val="0"/>
                        </w:rPr>
                        <w:t>F operations to generate the input for the first decoder. After</w:t>
                      </w:r>
                      <w:r>
                        <w:rPr>
                          <w:b w:val="0"/>
                          <w:bCs w:val="0"/>
                        </w:rPr>
                        <w:t xml:space="preserve"> </w:t>
                      </w:r>
                      <w:r w:rsidRPr="0092562A">
                        <w:rPr>
                          <w:b w:val="0"/>
                          <w:bCs w:val="0"/>
                        </w:rPr>
                        <w:t>the first decoding stage, G operations combine the results to</w:t>
                      </w:r>
                      <w:r>
                        <w:rPr>
                          <w:b w:val="0"/>
                          <w:bCs w:val="0"/>
                        </w:rPr>
                        <w:t xml:space="preserve"> </w:t>
                      </w:r>
                      <w:r w:rsidRPr="0092562A">
                        <w:rPr>
                          <w:b w:val="0"/>
                          <w:bCs w:val="0"/>
                        </w:rPr>
                        <w:t>construct the synthesized LLRs for the second decoder.</w:t>
                      </w:r>
                    </w:p>
                  </w:txbxContent>
                </v:textbox>
                <w10:wrap type="topAndBottom"/>
              </v:shape>
            </w:pict>
          </mc:Fallback>
        </mc:AlternateContent>
      </w:r>
    </w:p>
    <w:p w14:paraId="2ED62014" w14:textId="147F2D13" w:rsidR="00622FDD" w:rsidRDefault="00622FDD" w:rsidP="00622FDD">
      <w:pPr>
        <w:jc w:val="both"/>
      </w:pPr>
      <w:r>
        <w:t xml:space="preserve">Each XOR operation in the inter-segment coding layer corresponds to a polarization step that transforms two </w:t>
      </w:r>
      <w:proofErr w:type="spellStart"/>
      <w:r>
        <w:t>i.i.d.</w:t>
      </w:r>
      <w:proofErr w:type="spellEnd"/>
      <w:r>
        <w:t xml:space="preserve"> copies of a channel </w:t>
      </w:r>
      <m:oMath>
        <m:r>
          <w:rPr>
            <w:rFonts w:ascii="Cambria Math" w:hAnsi="Cambria Math"/>
          </w:rPr>
          <m:t>W</m:t>
        </m:r>
      </m:oMath>
      <w:r>
        <w:t xml:space="preserve"> into a degraded synthesized channel </w:t>
      </w:r>
      <m:oMath>
        <m:sSup>
          <m:sSupPr>
            <m:ctrlPr>
              <w:rPr>
                <w:rFonts w:ascii="Cambria Math" w:hAnsi="Cambria Math"/>
                <w:i/>
              </w:rPr>
            </m:ctrlPr>
          </m:sSupPr>
          <m:e>
            <m:r>
              <w:rPr>
                <w:rFonts w:ascii="Cambria Math" w:hAnsi="Cambria Math"/>
              </w:rPr>
              <m:t>W</m:t>
            </m:r>
          </m:e>
          <m:sup>
            <m:r>
              <w:rPr>
                <w:rFonts w:ascii="Cambria Math" w:hAnsi="Cambria Math"/>
              </w:rPr>
              <m:t>-</m:t>
            </m:r>
          </m:sup>
        </m:sSup>
      </m:oMath>
      <w:r>
        <w:t xml:space="preserve"> and an improved synthesized channel </w:t>
      </w:r>
      <m:oMath>
        <m:sSup>
          <m:sSupPr>
            <m:ctrlPr>
              <w:rPr>
                <w:rFonts w:ascii="Cambria Math" w:hAnsi="Cambria Math"/>
                <w:i/>
              </w:rPr>
            </m:ctrlPr>
          </m:sSupPr>
          <m:e>
            <m:r>
              <w:rPr>
                <w:rFonts w:ascii="Cambria Math" w:hAnsi="Cambria Math"/>
              </w:rPr>
              <m:t>W</m:t>
            </m:r>
          </m:e>
          <m:sup>
            <m:r>
              <w:rPr>
                <w:rFonts w:ascii="Cambria Math" w:hAnsi="Cambria Math"/>
              </w:rPr>
              <m:t>+</m:t>
            </m:r>
          </m:sup>
        </m:sSup>
      </m:oMath>
      <w:r>
        <w:t xml:space="preserve">. Consider the two-segment design illustrated in </w:t>
      </w:r>
      <w:r w:rsidRPr="00622FDD">
        <w:fldChar w:fldCharType="begin"/>
      </w:r>
      <w:r w:rsidRPr="00622FDD">
        <w:instrText xml:space="preserve"> REF _Ref209769779 \h  \* MERGEFORMAT </w:instrText>
      </w:r>
      <w:r w:rsidRPr="00622FDD">
        <w:fldChar w:fldCharType="separate"/>
      </w:r>
      <w:r w:rsidR="001D4353" w:rsidRPr="0092562A">
        <w:t xml:space="preserve">Figure </w:t>
      </w:r>
      <w:r w:rsidR="001D4353" w:rsidRPr="001D4353">
        <w:rPr>
          <w:noProof/>
        </w:rPr>
        <w:t>2</w:t>
      </w:r>
      <w:r w:rsidRPr="00622FDD">
        <w:fldChar w:fldCharType="end"/>
      </w:r>
      <w:r>
        <w:t xml:space="preserve">. With a full polarization layer (i.e., a conventional polar transform), the effective capacity allocated to the first segment is </w:t>
      </w:r>
      <m:oMath>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C(</m:t>
        </m:r>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oMath>
      <w:r>
        <w:t xml:space="preserve">, which may fall below the required code rate. Partial polarization addresses this issue by increasing the effective capacity of the leading segment. Specifically, for a partial polarization ratio </w:t>
      </w:r>
      <m:oMath>
        <m:r>
          <w:rPr>
            <w:rFonts w:ascii="Cambria Math" w:hAnsi="Cambria Math"/>
          </w:rPr>
          <m:t>τ</m:t>
        </m:r>
      </m:oMath>
      <w:r>
        <w:t>, the effective capacity of the first and second segments respectively becomes</w:t>
      </w:r>
    </w:p>
    <w:p w14:paraId="111AD7E4" w14:textId="77777777" w:rsidR="00622FDD" w:rsidRDefault="00622FDD" w:rsidP="00622FDD">
      <w:pPr>
        <w:jc w:val="both"/>
      </w:pPr>
    </w:p>
    <w:p w14:paraId="52127F54" w14:textId="1D345E9F" w:rsidR="00622FDD" w:rsidRPr="00622FDD" w:rsidRDefault="00000000" w:rsidP="00622FDD">
      <w:pPr>
        <w:jc w:val="both"/>
      </w:pPr>
      <m:oMathPara>
        <m:oMath>
          <m:sSub>
            <m:sSubPr>
              <m:ctrlPr>
                <w:rPr>
                  <w:rFonts w:ascii="Cambria Math" w:hAnsi="Cambria Math"/>
                  <w:i/>
                </w:rPr>
              </m:ctrlPr>
            </m:sSubPr>
            <m:e>
              <m:r>
                <w:rPr>
                  <w:rFonts w:ascii="Cambria Math" w:hAnsi="Cambria Math"/>
                </w:rPr>
                <m:t>C</m:t>
              </m:r>
            </m:e>
            <m:sub>
              <m:r>
                <w:rPr>
                  <w:rFonts w:ascii="Cambria Math" w:hAnsi="Cambria Math"/>
                </w:rPr>
                <m:t>first</m:t>
              </m:r>
            </m:sub>
          </m:sSub>
          <m:r>
            <w:rPr>
              <w:rFonts w:ascii="Cambria Math" w:hAnsi="Cambria Math"/>
            </w:rPr>
            <m:t xml:space="preserve">= </m:t>
          </m:r>
          <m:f>
            <m:fPr>
              <m:ctrlPr>
                <w:rPr>
                  <w:rFonts w:ascii="Cambria Math" w:hAnsi="Cambria Math"/>
                  <w:i/>
                </w:rPr>
              </m:ctrlPr>
            </m:fPr>
            <m:num>
              <m:r>
                <w:rPr>
                  <w:rFonts w:ascii="Cambria Math" w:hAnsi="Cambria Math"/>
                </w:rPr>
                <m:t>N</m:t>
              </m:r>
            </m:num>
            <m:den>
              <m:r>
                <w:rPr>
                  <w:rFonts w:ascii="Cambria Math" w:hAnsi="Cambria Math"/>
                </w:rPr>
                <m:t>2</m:t>
              </m:r>
            </m:den>
          </m:f>
          <m:d>
            <m:dPr>
              <m:ctrlPr>
                <w:rPr>
                  <w:rFonts w:ascii="Cambria Math" w:hAnsi="Cambria Math"/>
                  <w:i/>
                </w:rPr>
              </m:ctrlPr>
            </m:dPr>
            <m:e>
              <m:r>
                <w:rPr>
                  <w:rFonts w:ascii="Cambria Math" w:hAnsi="Cambria Math"/>
                </w:rPr>
                <m:t>τC</m:t>
              </m:r>
              <m:d>
                <m:dPr>
                  <m:ctrlPr>
                    <w:rPr>
                      <w:rFonts w:ascii="Cambria Math" w:hAnsi="Cambria Math"/>
                      <w:i/>
                    </w:rPr>
                  </m:ctrlPr>
                </m:dPr>
                <m:e>
                  <m:sSup>
                    <m:sSupPr>
                      <m:ctrlPr>
                        <w:rPr>
                          <w:rFonts w:ascii="Cambria Math" w:hAnsi="Cambria Math"/>
                          <w:i/>
                        </w:rPr>
                      </m:ctrlPr>
                    </m:sSupPr>
                    <m:e>
                      <m:r>
                        <w:rPr>
                          <w:rFonts w:ascii="Cambria Math" w:hAnsi="Cambria Math"/>
                        </w:rPr>
                        <m:t>W</m:t>
                      </m:r>
                    </m:e>
                    <m:sup>
                      <m:r>
                        <w:rPr>
                          <w:rFonts w:ascii="Cambria Math" w:hAnsi="Cambria Math"/>
                        </w:rPr>
                        <m:t>-</m:t>
                      </m:r>
                    </m:sup>
                  </m:sSup>
                </m:e>
              </m:d>
              <m:r>
                <w:rPr>
                  <w:rFonts w:ascii="Cambria Math" w:hAnsi="Cambria Math"/>
                </w:rPr>
                <m:t>+</m:t>
              </m:r>
              <m:d>
                <m:dPr>
                  <m:ctrlPr>
                    <w:rPr>
                      <w:rFonts w:ascii="Cambria Math" w:hAnsi="Cambria Math"/>
                      <w:i/>
                    </w:rPr>
                  </m:ctrlPr>
                </m:dPr>
                <m:e>
                  <m:r>
                    <w:rPr>
                      <w:rFonts w:ascii="Cambria Math" w:hAnsi="Cambria Math"/>
                    </w:rPr>
                    <m:t>1-τ</m:t>
                  </m:r>
                </m:e>
              </m:d>
              <m:r>
                <w:rPr>
                  <w:rFonts w:ascii="Cambria Math" w:hAnsi="Cambria Math"/>
                </w:rPr>
                <m:t>C</m:t>
              </m:r>
              <m:d>
                <m:dPr>
                  <m:ctrlPr>
                    <w:rPr>
                      <w:rFonts w:ascii="Cambria Math" w:hAnsi="Cambria Math"/>
                      <w:i/>
                    </w:rPr>
                  </m:ctrlPr>
                </m:dPr>
                <m:e>
                  <m:r>
                    <w:rPr>
                      <w:rFonts w:ascii="Cambria Math" w:hAnsi="Cambria Math"/>
                    </w:rPr>
                    <m:t>W</m:t>
                  </m:r>
                </m:e>
              </m:d>
            </m:e>
          </m:d>
          <m:r>
            <w:rPr>
              <w:rFonts w:ascii="Cambria Math" w:hAnsi="Cambria Math"/>
            </w:rPr>
            <m:t>,</m:t>
          </m:r>
        </m:oMath>
      </m:oMathPara>
    </w:p>
    <w:p w14:paraId="5874F813" w14:textId="0E93DC62" w:rsidR="00622FDD" w:rsidRPr="00622FDD" w:rsidRDefault="00000000" w:rsidP="00622FDD">
      <w:pPr>
        <w:jc w:val="both"/>
      </w:pPr>
      <m:oMathPara>
        <m:oMath>
          <m:sSub>
            <m:sSubPr>
              <m:ctrlPr>
                <w:rPr>
                  <w:rFonts w:ascii="Cambria Math" w:hAnsi="Cambria Math"/>
                  <w:i/>
                </w:rPr>
              </m:ctrlPr>
            </m:sSubPr>
            <m:e>
              <m:r>
                <w:rPr>
                  <w:rFonts w:ascii="Cambria Math" w:hAnsi="Cambria Math"/>
                </w:rPr>
                <m:t>C</m:t>
              </m:r>
            </m:e>
            <m:sub>
              <m:r>
                <w:rPr>
                  <w:rFonts w:ascii="Cambria Math" w:hAnsi="Cambria Math"/>
                </w:rPr>
                <m:t>second</m:t>
              </m:r>
            </m:sub>
          </m:sSub>
          <m:r>
            <w:rPr>
              <w:rFonts w:ascii="Cambria Math" w:hAnsi="Cambria Math"/>
            </w:rPr>
            <m:t xml:space="preserve">= </m:t>
          </m:r>
          <m:f>
            <m:fPr>
              <m:ctrlPr>
                <w:rPr>
                  <w:rFonts w:ascii="Cambria Math" w:hAnsi="Cambria Math"/>
                  <w:i/>
                </w:rPr>
              </m:ctrlPr>
            </m:fPr>
            <m:num>
              <m:r>
                <w:rPr>
                  <w:rFonts w:ascii="Cambria Math" w:hAnsi="Cambria Math"/>
                </w:rPr>
                <m:t>N</m:t>
              </m:r>
            </m:num>
            <m:den>
              <m:r>
                <w:rPr>
                  <w:rFonts w:ascii="Cambria Math" w:hAnsi="Cambria Math"/>
                </w:rPr>
                <m:t>2</m:t>
              </m:r>
            </m:den>
          </m:f>
          <m:d>
            <m:dPr>
              <m:ctrlPr>
                <w:rPr>
                  <w:rFonts w:ascii="Cambria Math" w:hAnsi="Cambria Math"/>
                  <w:i/>
                </w:rPr>
              </m:ctrlPr>
            </m:dPr>
            <m:e>
              <m:r>
                <w:rPr>
                  <w:rFonts w:ascii="Cambria Math" w:hAnsi="Cambria Math"/>
                </w:rPr>
                <m:t>τC</m:t>
              </m:r>
              <m:d>
                <m:dPr>
                  <m:ctrlPr>
                    <w:rPr>
                      <w:rFonts w:ascii="Cambria Math" w:hAnsi="Cambria Math"/>
                      <w:i/>
                    </w:rPr>
                  </m:ctrlPr>
                </m:dPr>
                <m:e>
                  <m:sSup>
                    <m:sSupPr>
                      <m:ctrlPr>
                        <w:rPr>
                          <w:rFonts w:ascii="Cambria Math" w:hAnsi="Cambria Math"/>
                          <w:i/>
                        </w:rPr>
                      </m:ctrlPr>
                    </m:sSupPr>
                    <m:e>
                      <m:r>
                        <w:rPr>
                          <w:rFonts w:ascii="Cambria Math" w:hAnsi="Cambria Math"/>
                        </w:rPr>
                        <m:t>W</m:t>
                      </m:r>
                    </m:e>
                    <m:sup>
                      <m:r>
                        <w:rPr>
                          <w:rFonts w:ascii="Cambria Math" w:hAnsi="Cambria Math"/>
                        </w:rPr>
                        <m:t>+</m:t>
                      </m:r>
                    </m:sup>
                  </m:sSup>
                </m:e>
              </m:d>
              <m:r>
                <w:rPr>
                  <w:rFonts w:ascii="Cambria Math" w:hAnsi="Cambria Math"/>
                </w:rPr>
                <m:t>+</m:t>
              </m:r>
              <m:d>
                <m:dPr>
                  <m:ctrlPr>
                    <w:rPr>
                      <w:rFonts w:ascii="Cambria Math" w:hAnsi="Cambria Math"/>
                      <w:i/>
                    </w:rPr>
                  </m:ctrlPr>
                </m:dPr>
                <m:e>
                  <m:r>
                    <w:rPr>
                      <w:rFonts w:ascii="Cambria Math" w:hAnsi="Cambria Math"/>
                    </w:rPr>
                    <m:t>1-τ</m:t>
                  </m:r>
                </m:e>
              </m:d>
              <m:r>
                <w:rPr>
                  <w:rFonts w:ascii="Cambria Math" w:hAnsi="Cambria Math"/>
                </w:rPr>
                <m:t>C</m:t>
              </m:r>
              <m:d>
                <m:dPr>
                  <m:ctrlPr>
                    <w:rPr>
                      <w:rFonts w:ascii="Cambria Math" w:hAnsi="Cambria Math"/>
                      <w:i/>
                    </w:rPr>
                  </m:ctrlPr>
                </m:dPr>
                <m:e>
                  <m:r>
                    <w:rPr>
                      <w:rFonts w:ascii="Cambria Math" w:hAnsi="Cambria Math"/>
                    </w:rPr>
                    <m:t>W</m:t>
                  </m:r>
                </m:e>
              </m:d>
            </m:e>
          </m:d>
          <m:r>
            <w:rPr>
              <w:rFonts w:ascii="Cambria Math" w:hAnsi="Cambria Math"/>
            </w:rPr>
            <m:t>,</m:t>
          </m:r>
        </m:oMath>
      </m:oMathPara>
    </w:p>
    <w:p w14:paraId="1A8198C0" w14:textId="77777777" w:rsidR="00622FDD" w:rsidRPr="00622FDD" w:rsidRDefault="00622FDD" w:rsidP="00622FDD">
      <w:pPr>
        <w:jc w:val="both"/>
      </w:pPr>
    </w:p>
    <w:p w14:paraId="0E248F89" w14:textId="47103F0C" w:rsidR="00622FDD" w:rsidRPr="00622FDD" w:rsidRDefault="00622FDD" w:rsidP="00622FDD">
      <w:pPr>
        <w:jc w:val="both"/>
      </w:pPr>
      <w:r>
        <w:t xml:space="preserve">Here, a </w:t>
      </w:r>
      <m:oMath>
        <m:r>
          <w:rPr>
            <w:rFonts w:ascii="Cambria Math" w:hAnsi="Cambria Math"/>
          </w:rPr>
          <m:t>τ</m:t>
        </m:r>
      </m:oMath>
      <w:r>
        <w:t xml:space="preserve"> fraction of pairs undergo polarization (contributing </w:t>
      </w:r>
      <m:oMath>
        <m:r>
          <w:rPr>
            <w:rFonts w:ascii="Cambria Math" w:hAnsi="Cambria Math"/>
          </w:rPr>
          <m:t>C(</m:t>
        </m:r>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oMath>
      <w:r>
        <w:t xml:space="preserve"> to the first and </w:t>
      </w:r>
      <m:oMath>
        <m:r>
          <w:rPr>
            <w:rFonts w:ascii="Cambria Math" w:hAnsi="Cambria Math"/>
          </w:rPr>
          <m:t>C(</m:t>
        </m:r>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oMath>
      <w:r>
        <w:t xml:space="preserve"> to the second segments), while a </w:t>
      </w:r>
      <m:oMath>
        <m:r>
          <w:rPr>
            <w:rFonts w:ascii="Cambria Math" w:hAnsi="Cambria Math"/>
          </w:rPr>
          <m:t>(1 - τ)</m:t>
        </m:r>
      </m:oMath>
      <w:r>
        <w:t xml:space="preserve"> fraction remain unpolarized (contributing </w:t>
      </w:r>
      <m:oMath>
        <m:r>
          <w:rPr>
            <w:rFonts w:ascii="Cambria Math" w:hAnsi="Cambria Math"/>
          </w:rPr>
          <m:t>C(W)</m:t>
        </m:r>
      </m:oMath>
      <w:r>
        <w:t>), thus rebalancing capacity toward a smaller gap.</w:t>
      </w:r>
    </w:p>
    <w:p w14:paraId="40144BCB" w14:textId="77777777" w:rsidR="00622FDD" w:rsidRDefault="00622FDD" w:rsidP="00622FDD">
      <w:pPr>
        <w:jc w:val="both"/>
      </w:pPr>
    </w:p>
    <w:p w14:paraId="65976EFC" w14:textId="0A9256CF" w:rsidR="00622FDD" w:rsidRDefault="00622FDD" w:rsidP="00622FDD">
      <w:pPr>
        <w:jc w:val="both"/>
      </w:pPr>
      <w:r w:rsidRPr="00622FDD">
        <w:t>As an example, consider</w:t>
      </w:r>
      <w:r>
        <w:t xml:space="preserve"> </w:t>
      </w:r>
      <m:oMath>
        <m:r>
          <w:rPr>
            <w:rFonts w:ascii="Cambria Math" w:hAnsi="Cambria Math"/>
          </w:rPr>
          <m:t>N = 128</m:t>
        </m:r>
      </m:oMath>
      <w:r w:rsidRPr="00622FDD">
        <w:t xml:space="preserve"> with an overall code rate corresponding to 24 information bits and 16 RNTI bits. Assume the underlying channel is a binary erasure channel (BEC) with erasure probability </w:t>
      </w:r>
      <m:oMath>
        <m:r>
          <w:rPr>
            <w:rFonts w:ascii="Cambria Math" w:hAnsi="Cambria Math"/>
          </w:rPr>
          <m:t>z = 0.5</m:t>
        </m:r>
      </m:oMath>
      <w:r w:rsidRPr="00622FDD">
        <w:t xml:space="preserve">. Under a conventional polar transformation, the first segment receives 64 synthesized </w:t>
      </w:r>
      <m:oMath>
        <m:sSup>
          <m:sSupPr>
            <m:ctrlPr>
              <w:rPr>
                <w:rFonts w:ascii="Cambria Math" w:hAnsi="Cambria Math"/>
                <w:i/>
              </w:rPr>
            </m:ctrlPr>
          </m:sSupPr>
          <m:e>
            <m:r>
              <w:rPr>
                <w:rFonts w:ascii="Cambria Math" w:hAnsi="Cambria Math"/>
              </w:rPr>
              <m:t>W</m:t>
            </m:r>
          </m:e>
          <m:sup>
            <m:r>
              <w:rPr>
                <w:rFonts w:ascii="Cambria Math" w:hAnsi="Cambria Math"/>
              </w:rPr>
              <m:t>-</m:t>
            </m:r>
          </m:sup>
        </m:sSup>
      </m:oMath>
      <w:r w:rsidRPr="00622FDD">
        <w:t xml:space="preserve"> channels, each with erasure probability</w:t>
      </w:r>
    </w:p>
    <w:p w14:paraId="53F42D14" w14:textId="77777777" w:rsidR="00622FDD" w:rsidRDefault="00622FDD" w:rsidP="00622FDD">
      <w:pPr>
        <w:jc w:val="both"/>
      </w:pPr>
    </w:p>
    <w:p w14:paraId="1F3E49CE" w14:textId="494CA921" w:rsidR="0092562A" w:rsidRPr="00622FDD" w:rsidRDefault="00622FDD" w:rsidP="00622FDD">
      <w:pPr>
        <w:jc w:val="both"/>
      </w:pPr>
      <m:oMathPara>
        <m:oMath>
          <m:r>
            <w:rPr>
              <w:rFonts w:ascii="Cambria Math" w:hAnsi="Cambria Math"/>
            </w:rPr>
            <m:t xml:space="preserve">1 - </m:t>
          </m:r>
          <m:sSup>
            <m:sSupPr>
              <m:ctrlPr>
                <w:rPr>
                  <w:rFonts w:ascii="Cambria Math" w:hAnsi="Cambria Math"/>
                  <w:i/>
                </w:rPr>
              </m:ctrlPr>
            </m:sSupPr>
            <m:e>
              <m:d>
                <m:dPr>
                  <m:ctrlPr>
                    <w:rPr>
                      <w:rFonts w:ascii="Cambria Math" w:hAnsi="Cambria Math"/>
                      <w:i/>
                    </w:rPr>
                  </m:ctrlPr>
                </m:dPr>
                <m:e>
                  <m:r>
                    <w:rPr>
                      <w:rFonts w:ascii="Cambria Math" w:hAnsi="Cambria Math"/>
                    </w:rPr>
                    <m:t>1-z</m:t>
                  </m:r>
                </m:e>
              </m:d>
            </m:e>
            <m:sup>
              <m:r>
                <w:rPr>
                  <w:rFonts w:ascii="Cambria Math" w:hAnsi="Cambria Math"/>
                </w:rPr>
                <m:t>2</m:t>
              </m:r>
            </m:sup>
          </m:sSup>
          <m:r>
            <w:rPr>
              <w:rFonts w:ascii="Cambria Math" w:hAnsi="Cambria Math"/>
            </w:rPr>
            <m:t xml:space="preserve"> = 0.75.</m:t>
          </m:r>
        </m:oMath>
      </m:oMathPara>
    </w:p>
    <w:p w14:paraId="053A5993" w14:textId="77777777" w:rsidR="00622FDD" w:rsidRDefault="00622FDD" w:rsidP="00622FDD">
      <w:pPr>
        <w:jc w:val="both"/>
      </w:pPr>
    </w:p>
    <w:p w14:paraId="3D1B0843" w14:textId="77777777" w:rsidR="001249AE" w:rsidRDefault="001249AE" w:rsidP="00622FDD">
      <w:pPr>
        <w:jc w:val="both"/>
      </w:pPr>
    </w:p>
    <w:p w14:paraId="3D5E2967" w14:textId="77777777" w:rsidR="001249AE" w:rsidRDefault="001249AE" w:rsidP="00622FDD">
      <w:pPr>
        <w:jc w:val="both"/>
      </w:pPr>
    </w:p>
    <w:p w14:paraId="72076467" w14:textId="5360424F" w:rsidR="001249AE" w:rsidRDefault="001249AE" w:rsidP="00622FDD">
      <w:pPr>
        <w:jc w:val="both"/>
      </w:pPr>
      <w:r>
        <w:rPr>
          <w:noProof/>
        </w:rPr>
        <w:lastRenderedPageBreak/>
        <mc:AlternateContent>
          <mc:Choice Requires="wps">
            <w:drawing>
              <wp:anchor distT="0" distB="0" distL="114300" distR="114300" simplePos="0" relativeHeight="251666432" behindDoc="0" locked="0" layoutInCell="1" allowOverlap="1" wp14:anchorId="2EDCAE83" wp14:editId="3DDB08CE">
                <wp:simplePos x="0" y="0"/>
                <wp:positionH relativeFrom="column">
                  <wp:posOffset>145415</wp:posOffset>
                </wp:positionH>
                <wp:positionV relativeFrom="paragraph">
                  <wp:posOffset>3304540</wp:posOffset>
                </wp:positionV>
                <wp:extent cx="5828030" cy="635"/>
                <wp:effectExtent l="0" t="0" r="1270" b="12065"/>
                <wp:wrapTopAndBottom/>
                <wp:docPr id="1234031575" name="Text Box 1"/>
                <wp:cNvGraphicFramePr/>
                <a:graphic xmlns:a="http://schemas.openxmlformats.org/drawingml/2006/main">
                  <a:graphicData uri="http://schemas.microsoft.com/office/word/2010/wordprocessingShape">
                    <wps:wsp>
                      <wps:cNvSpPr txBox="1"/>
                      <wps:spPr>
                        <a:xfrm>
                          <a:off x="0" y="0"/>
                          <a:ext cx="5828030" cy="635"/>
                        </a:xfrm>
                        <a:prstGeom prst="rect">
                          <a:avLst/>
                        </a:prstGeom>
                        <a:solidFill>
                          <a:prstClr val="white"/>
                        </a:solidFill>
                        <a:ln>
                          <a:noFill/>
                        </a:ln>
                      </wps:spPr>
                      <wps:txbx>
                        <w:txbxContent>
                          <w:p w14:paraId="29740588" w14:textId="642B9489" w:rsidR="001249AE" w:rsidRPr="001249AE" w:rsidRDefault="001249AE" w:rsidP="001249AE">
                            <w:pPr>
                              <w:pStyle w:val="Caption"/>
                              <w:rPr>
                                <w:b w:val="0"/>
                                <w:bCs w:val="0"/>
                                <w:noProof/>
                              </w:rPr>
                            </w:pPr>
                            <w:r w:rsidRPr="001249AE">
                              <w:rPr>
                                <w:b w:val="0"/>
                                <w:bCs w:val="0"/>
                              </w:rPr>
                              <w:t xml:space="preserve">Figure </w:t>
                            </w:r>
                            <w:r w:rsidRPr="001249AE">
                              <w:rPr>
                                <w:b w:val="0"/>
                                <w:bCs w:val="0"/>
                              </w:rPr>
                              <w:fldChar w:fldCharType="begin"/>
                            </w:r>
                            <w:r w:rsidRPr="001249AE">
                              <w:rPr>
                                <w:b w:val="0"/>
                                <w:bCs w:val="0"/>
                              </w:rPr>
                              <w:instrText xml:space="preserve"> SEQ Figure \* ARABIC </w:instrText>
                            </w:r>
                            <w:r w:rsidRPr="001249AE">
                              <w:rPr>
                                <w:b w:val="0"/>
                                <w:bCs w:val="0"/>
                              </w:rPr>
                              <w:fldChar w:fldCharType="separate"/>
                            </w:r>
                            <w:r w:rsidR="00612C03">
                              <w:rPr>
                                <w:b w:val="0"/>
                                <w:bCs w:val="0"/>
                                <w:noProof/>
                              </w:rPr>
                              <w:t>3</w:t>
                            </w:r>
                            <w:r w:rsidRPr="001249AE">
                              <w:rPr>
                                <w:b w:val="0"/>
                                <w:bCs w:val="0"/>
                              </w:rPr>
                              <w:fldChar w:fldCharType="end"/>
                            </w:r>
                            <w:r w:rsidRPr="001249AE">
                              <w:rPr>
                                <w:b w:val="0"/>
                                <w:bCs w:val="0"/>
                              </w:rPr>
                              <w:t xml:space="preserve">. Example of a PPP code with partial ratio </w:t>
                            </w:r>
                            <m:oMath>
                              <m:r>
                                <m:rPr>
                                  <m:sty m:val="bi"/>
                                </m:rPr>
                                <w:rPr>
                                  <w:rFonts w:ascii="Cambria Math" w:hAnsi="Cambria Math"/>
                                </w:rPr>
                                <m:t>τ = 1/2</m:t>
                              </m:r>
                            </m:oMath>
                            <w:r w:rsidRPr="001249AE">
                              <w:rPr>
                                <w:b w:val="0"/>
                                <w:bCs w:val="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EDCAE83" id="_x0000_s1028" type="#_x0000_t202" style="position:absolute;left:0;text-align:left;margin-left:11.45pt;margin-top:260.2pt;width:458.9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" stroked="f">
                <v:textbox style="mso-fit-shape-to-text:t" inset="0,0,0,0">
                  <w:txbxContent>
                    <w:p w14:paraId="29740588" w14:textId="642B9489" w:rsidR="001249AE" w:rsidRPr="001249AE" w:rsidRDefault="001249AE" w:rsidP="001249AE">
                      <w:pPr>
                        <w:pStyle w:val="Caption"/>
                        <w:rPr>
                          <w:b w:val="0"/>
                          <w:bCs w:val="0"/>
                          <w:noProof/>
                        </w:rPr>
                      </w:pPr>
                      <w:r w:rsidRPr="001249AE">
                        <w:rPr>
                          <w:b w:val="0"/>
                          <w:bCs w:val="0"/>
                        </w:rPr>
                        <w:t xml:space="preserve">Figure </w:t>
                      </w:r>
                      <w:r w:rsidRPr="001249AE">
                        <w:rPr>
                          <w:b w:val="0"/>
                          <w:bCs w:val="0"/>
                        </w:rPr>
                        <w:fldChar w:fldCharType="begin"/>
                      </w:r>
                      <w:r w:rsidRPr="001249AE">
                        <w:rPr>
                          <w:b w:val="0"/>
                          <w:bCs w:val="0"/>
                        </w:rPr>
                        <w:instrText xml:space="preserve"> SEQ Figure \* ARABIC </w:instrText>
                      </w:r>
                      <w:r w:rsidRPr="001249AE">
                        <w:rPr>
                          <w:b w:val="0"/>
                          <w:bCs w:val="0"/>
                        </w:rPr>
                        <w:fldChar w:fldCharType="separate"/>
                      </w:r>
                      <w:r w:rsidR="00612C03">
                        <w:rPr>
                          <w:b w:val="0"/>
                          <w:bCs w:val="0"/>
                          <w:noProof/>
                        </w:rPr>
                        <w:t>3</w:t>
                      </w:r>
                      <w:r w:rsidRPr="001249AE">
                        <w:rPr>
                          <w:b w:val="0"/>
                          <w:bCs w:val="0"/>
                        </w:rPr>
                        <w:fldChar w:fldCharType="end"/>
                      </w:r>
                      <w:r w:rsidRPr="001249AE">
                        <w:rPr>
                          <w:b w:val="0"/>
                          <w:bCs w:val="0"/>
                        </w:rPr>
                        <w:t xml:space="preserve">. Example of a PPP code with partial ratio </w:t>
                      </w:r>
                      <m:oMath>
                        <m:r>
                          <m:rPr>
                            <m:sty m:val="bi"/>
                          </m:rPr>
                          <w:rPr>
                            <w:rFonts w:ascii="Cambria Math" w:hAnsi="Cambria Math"/>
                          </w:rPr>
                          <m:t>τ = 1/2</m:t>
                        </m:r>
                      </m:oMath>
                      <w:r w:rsidRPr="001249AE">
                        <w:rPr>
                          <w:b w:val="0"/>
                          <w:bCs w:val="0"/>
                        </w:rPr>
                        <w:t>.</w:t>
                      </w:r>
                    </w:p>
                  </w:txbxContent>
                </v:textbox>
                <w10:wrap type="topAndBottom"/>
              </v:shape>
            </w:pict>
          </mc:Fallback>
        </mc:AlternateContent>
      </w:r>
      <w:r>
        <w:rPr>
          <w:noProof/>
        </w:rPr>
        <w:drawing>
          <wp:anchor distT="0" distB="0" distL="114300" distR="114300" simplePos="0" relativeHeight="251664384" behindDoc="0" locked="0" layoutInCell="1" allowOverlap="1" wp14:anchorId="5A5B4CC2" wp14:editId="6B4D5506">
            <wp:simplePos x="0" y="0"/>
            <wp:positionH relativeFrom="margin">
              <wp:align>center</wp:align>
            </wp:positionH>
            <wp:positionV relativeFrom="paragraph">
              <wp:posOffset>0</wp:posOffset>
            </wp:positionV>
            <wp:extent cx="5828030" cy="3247402"/>
            <wp:effectExtent l="0" t="0" r="1270" b="3810"/>
            <wp:wrapTopAndBottom/>
            <wp:docPr id="106142466" name="Picture 3" descr="A diagram of a circuit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42466" name="Picture 3" descr="A diagram of a circuit board&#10;&#10;AI-generated content may be incorrect."/>
                    <pic:cNvPicPr/>
                  </pic:nvPicPr>
                  <pic:blipFill rotWithShape="1">
                    <a:blip r:embed="rId10"/>
                    <a:srcRect r="4780" b="5677"/>
                    <a:stretch>
                      <a:fillRect/>
                    </a:stretch>
                  </pic:blipFill>
                  <pic:spPr bwMode="auto">
                    <a:xfrm>
                      <a:off x="0" y="0"/>
                      <a:ext cx="5828030" cy="32474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43ACAA" w14:textId="60673274" w:rsidR="00622FDD" w:rsidRDefault="00622FDD" w:rsidP="00622FDD">
      <w:pPr>
        <w:jc w:val="both"/>
      </w:pPr>
      <w:r w:rsidRPr="00622FDD">
        <w:t>The resulting effective capacity of the leading segment i</w:t>
      </w:r>
      <w:r>
        <w:t xml:space="preserve">s </w:t>
      </w:r>
      <m:oMath>
        <m:sSub>
          <m:sSubPr>
            <m:ctrlPr>
              <w:rPr>
                <w:rFonts w:ascii="Cambria Math" w:hAnsi="Cambria Math"/>
                <w:i/>
              </w:rPr>
            </m:ctrlPr>
          </m:sSubPr>
          <m:e>
            <m:r>
              <w:rPr>
                <w:rFonts w:ascii="Cambria Math" w:hAnsi="Cambria Math"/>
              </w:rPr>
              <m:t>C</m:t>
            </m:r>
          </m:e>
          <m:sub>
            <m:r>
              <w:rPr>
                <w:rFonts w:ascii="Cambria Math" w:hAnsi="Cambria Math"/>
              </w:rPr>
              <m:t>first</m:t>
            </m:r>
          </m:sub>
        </m:sSub>
        <m:r>
          <w:rPr>
            <w:rFonts w:ascii="Cambria Math" w:hAnsi="Cambria Math"/>
          </w:rPr>
          <m:t>=64×</m:t>
        </m:r>
        <m:d>
          <m:dPr>
            <m:ctrlPr>
              <w:rPr>
                <w:rFonts w:ascii="Cambria Math" w:hAnsi="Cambria Math"/>
                <w:i/>
              </w:rPr>
            </m:ctrlPr>
          </m:dPr>
          <m:e>
            <m:r>
              <w:rPr>
                <w:rFonts w:ascii="Cambria Math" w:hAnsi="Cambria Math"/>
              </w:rPr>
              <m:t>1-0.75</m:t>
            </m:r>
          </m:e>
        </m:d>
        <m:r>
          <w:rPr>
            <w:rFonts w:ascii="Cambria Math" w:hAnsi="Cambria Math"/>
          </w:rPr>
          <m:t xml:space="preserve">=16 </m:t>
        </m:r>
      </m:oMath>
      <w:r>
        <w:t>bits per channel use. This capacity is insufficient to reliably transmit 16 RNTI bits, since the achievable communication rate must be strictly less than the channel capacity according to Shannon’s theorem.</w:t>
      </w:r>
    </w:p>
    <w:p w14:paraId="10A03FD2" w14:textId="0E54137E" w:rsidR="00622FDD" w:rsidRDefault="00622FDD" w:rsidP="00622FDD">
      <w:pPr>
        <w:jc w:val="both"/>
      </w:pPr>
      <w:r>
        <w:t xml:space="preserve">With a partial polarization layer of ratio </w:t>
      </w:r>
      <m:oMath>
        <m:r>
          <w:rPr>
            <w:rFonts w:ascii="Cambria Math" w:hAnsi="Cambria Math"/>
          </w:rPr>
          <m:t>τ = 0.5</m:t>
        </m:r>
      </m:oMath>
      <w:r>
        <w:t>, the effective capacity of the leading segment becomes</w:t>
      </w:r>
    </w:p>
    <w:p w14:paraId="370F09FF" w14:textId="77777777" w:rsidR="00622FDD" w:rsidRDefault="00622FDD" w:rsidP="000827D7">
      <w:pPr>
        <w:jc w:val="both"/>
      </w:pPr>
    </w:p>
    <w:p w14:paraId="34CD3253" w14:textId="4A7C8EFB" w:rsidR="00622FDD" w:rsidRDefault="00000000" w:rsidP="000827D7">
      <w:pPr>
        <w:jc w:val="both"/>
      </w:pPr>
      <m:oMathPara>
        <m:oMath>
          <m:sSub>
            <m:sSubPr>
              <m:ctrlPr>
                <w:rPr>
                  <w:rFonts w:ascii="Cambria Math" w:hAnsi="Cambria Math"/>
                  <w:i/>
                </w:rPr>
              </m:ctrlPr>
            </m:sSubPr>
            <m:e>
              <m:r>
                <w:rPr>
                  <w:rFonts w:ascii="Cambria Math" w:hAnsi="Cambria Math"/>
                </w:rPr>
                <m:t>C</m:t>
              </m:r>
            </m:e>
            <m:sub>
              <m:r>
                <w:rPr>
                  <w:rFonts w:ascii="Cambria Math" w:hAnsi="Cambria Math"/>
                </w:rPr>
                <m:t>first</m:t>
              </m:r>
            </m:sub>
          </m:sSub>
          <m:r>
            <w:rPr>
              <w:rFonts w:ascii="Cambria Math" w:hAnsi="Cambria Math"/>
            </w:rPr>
            <m:t>=64 ×</m:t>
          </m:r>
          <m:d>
            <m:dPr>
              <m:ctrlPr>
                <w:rPr>
                  <w:rFonts w:ascii="Cambria Math" w:hAnsi="Cambria Math"/>
                  <w:i/>
                </w:rPr>
              </m:ctrlPr>
            </m:dPr>
            <m:e>
              <m:r>
                <w:rPr>
                  <w:rFonts w:ascii="Cambria Math" w:hAnsi="Cambria Math"/>
                </w:rPr>
                <m:t>τ</m:t>
              </m:r>
              <m:d>
                <m:dPr>
                  <m:ctrlPr>
                    <w:rPr>
                      <w:rFonts w:ascii="Cambria Math" w:hAnsi="Cambria Math"/>
                      <w:i/>
                    </w:rPr>
                  </m:ctrlPr>
                </m:dPr>
                <m:e>
                  <m:r>
                    <w:rPr>
                      <w:rFonts w:ascii="Cambria Math" w:hAnsi="Cambria Math"/>
                    </w:rPr>
                    <m:t>1-0.75</m:t>
                  </m:r>
                </m:e>
              </m:d>
              <m:r>
                <w:rPr>
                  <w:rFonts w:ascii="Cambria Math" w:hAnsi="Cambria Math"/>
                </w:rPr>
                <m:t>+</m:t>
              </m:r>
              <m:d>
                <m:dPr>
                  <m:ctrlPr>
                    <w:rPr>
                      <w:rFonts w:ascii="Cambria Math" w:hAnsi="Cambria Math"/>
                      <w:i/>
                    </w:rPr>
                  </m:ctrlPr>
                </m:dPr>
                <m:e>
                  <m:r>
                    <w:rPr>
                      <w:rFonts w:ascii="Cambria Math" w:hAnsi="Cambria Math"/>
                    </w:rPr>
                    <m:t>1-τ</m:t>
                  </m:r>
                </m:e>
              </m:d>
              <m:d>
                <m:dPr>
                  <m:ctrlPr>
                    <w:rPr>
                      <w:rFonts w:ascii="Cambria Math" w:hAnsi="Cambria Math"/>
                      <w:i/>
                    </w:rPr>
                  </m:ctrlPr>
                </m:dPr>
                <m:e>
                  <m:r>
                    <w:rPr>
                      <w:rFonts w:ascii="Cambria Math" w:hAnsi="Cambria Math"/>
                    </w:rPr>
                    <m:t>1-0.5</m:t>
                  </m:r>
                </m:e>
              </m:d>
            </m:e>
          </m:d>
          <m:r>
            <w:rPr>
              <w:rFonts w:ascii="Cambria Math" w:hAnsi="Cambria Math"/>
            </w:rPr>
            <m:t>=24.</m:t>
          </m:r>
        </m:oMath>
      </m:oMathPara>
    </w:p>
    <w:p w14:paraId="551264CE" w14:textId="77777777" w:rsidR="00622FDD" w:rsidRDefault="00622FDD" w:rsidP="000827D7">
      <w:pPr>
        <w:jc w:val="both"/>
      </w:pPr>
    </w:p>
    <w:p w14:paraId="5DD0C3CA" w14:textId="05B5621E" w:rsidR="00622FDD" w:rsidRDefault="00622FDD" w:rsidP="00622FDD">
      <w:r>
        <w:t>This value exceeds the design code rate, ensuring that the first segment can reliably accommodate the 16 RNTI bits.</w:t>
      </w:r>
    </w:p>
    <w:p w14:paraId="0316D332" w14:textId="77777777" w:rsidR="00622FDD" w:rsidRDefault="00622FDD" w:rsidP="00622FDD"/>
    <w:p w14:paraId="222C5782" w14:textId="29B90998" w:rsidR="00622FDD" w:rsidRDefault="00622FDD" w:rsidP="00622FDD">
      <w:pPr>
        <w:jc w:val="both"/>
      </w:pPr>
      <w:r w:rsidRPr="00622FDD">
        <w:t xml:space="preserve">Two-stage decoding with inter-segment partial polarization does not restrict the individual segment codes to be polar codes. </w:t>
      </w:r>
      <w:proofErr w:type="gramStart"/>
      <w:r w:rsidRPr="00622FDD">
        <w:t>In particular, if</w:t>
      </w:r>
      <w:proofErr w:type="gramEnd"/>
      <w:r w:rsidRPr="00622FDD">
        <w:t xml:space="preserve"> the leading segment is designed for an extremely low rate, it may be advantageous to replace it with a code of higher minimum distance, enabling fast </w:t>
      </w:r>
      <w:r w:rsidR="00DE0CA7">
        <w:t>maximum likelihood (</w:t>
      </w:r>
      <w:r w:rsidRPr="00622FDD">
        <w:t>ML</w:t>
      </w:r>
      <w:r w:rsidR="00DE0CA7">
        <w:t>)</w:t>
      </w:r>
      <w:r w:rsidRPr="00622FDD">
        <w:t>-like decoding. Alternatively, the first stage can be simplified to a detection task: the UE only needs to determine whether its RNTI is the most likely estimate and proceeds to the second decoding stage only if the answer is affirmative.</w:t>
      </w:r>
    </w:p>
    <w:p w14:paraId="5672D11C" w14:textId="77777777" w:rsidR="00622FDD" w:rsidRDefault="00622FDD" w:rsidP="000827D7">
      <w:pPr>
        <w:jc w:val="both"/>
      </w:pPr>
    </w:p>
    <w:p w14:paraId="6B21EFD6" w14:textId="6AC58DA8" w:rsidR="001249AE" w:rsidRDefault="001249AE" w:rsidP="001249AE">
      <w:pPr>
        <w:rPr>
          <w:i/>
          <w:iCs/>
        </w:rPr>
      </w:pPr>
      <w:r w:rsidRPr="00B37E4E">
        <w:rPr>
          <w:b/>
          <w:bCs/>
          <w:i/>
          <w:iCs/>
          <w:u w:val="single"/>
        </w:rPr>
        <w:t xml:space="preserve">Proposal </w:t>
      </w:r>
      <w:r>
        <w:rPr>
          <w:b/>
          <w:bCs/>
          <w:i/>
          <w:iCs/>
          <w:u w:val="single"/>
        </w:rPr>
        <w:t>2</w:t>
      </w:r>
      <w:r w:rsidRPr="00B37E4E">
        <w:rPr>
          <w:b/>
          <w:bCs/>
          <w:i/>
          <w:iCs/>
        </w:rPr>
        <w:t>:</w:t>
      </w:r>
      <w:r w:rsidRPr="00B37E4E">
        <w:rPr>
          <w:i/>
          <w:iCs/>
        </w:rPr>
        <w:t xml:space="preserve"> </w:t>
      </w:r>
      <w:r w:rsidRPr="001249AE">
        <w:rPr>
          <w:i/>
          <w:iCs/>
        </w:rPr>
        <w:t>It is proposed to employ inter-segment coding, such as partial polarization, to improve two-stage decoding performance by recovering coding gain while ensuring the RNTI sequence can fit in the first segment.</w:t>
      </w:r>
    </w:p>
    <w:p w14:paraId="3380099A" w14:textId="77777777" w:rsidR="00622FDD" w:rsidRDefault="00622FDD" w:rsidP="000827D7">
      <w:pPr>
        <w:jc w:val="both"/>
      </w:pPr>
    </w:p>
    <w:p w14:paraId="110674DE" w14:textId="6D464261" w:rsidR="001249AE" w:rsidRDefault="001249AE" w:rsidP="001249AE">
      <w:pPr>
        <w:jc w:val="both"/>
      </w:pPr>
      <w:r w:rsidRPr="001249AE">
        <w:rPr>
          <w:b/>
          <w:bCs/>
        </w:rPr>
        <w:t>Partially Polarized Polar (PPP) codes</w:t>
      </w:r>
      <w:r w:rsidRPr="001249AE">
        <w:t xml:space="preserve"> are constructed by partitioning the payload into multiple segments, encoding each segment with a conventional polar code, and then applying a partial polarization layer across segments. This approach preserves the modularity of segmentation, allowing reuse of existing polar-decoder hardware, while introducing controlled inter-segment dependencies that recover much of the coding gain otherwise lost with independent segmentation.</w:t>
      </w:r>
    </w:p>
    <w:p w14:paraId="4F70D9D1" w14:textId="77777777" w:rsidR="001249AE" w:rsidRDefault="001249AE" w:rsidP="001249AE">
      <w:pPr>
        <w:jc w:val="both"/>
      </w:pPr>
    </w:p>
    <w:p w14:paraId="75BDB055" w14:textId="092291A9" w:rsidR="008C3862" w:rsidRDefault="001249AE" w:rsidP="008C3862">
      <w:pPr>
        <w:jc w:val="both"/>
      </w:pPr>
      <w:r>
        <w:lastRenderedPageBreak/>
        <w:t xml:space="preserve">The partial polarization ratio </w:t>
      </w:r>
      <m:oMath>
        <m:r>
          <w:rPr>
            <w:rFonts w:ascii="Cambria Math" w:hAnsi="Cambria Math"/>
          </w:rPr>
          <m:t>τ</m:t>
        </m:r>
      </m:oMath>
      <w:r>
        <w:t xml:space="preserve"> is a key design parameter for PPP codes. It is determined by factors such as block length, channel SNR, the minimum code rate required for the leading segment, and the target block error rate (BLER). Although the choice of </w:t>
      </w:r>
      <m:oMath>
        <m:r>
          <w:rPr>
            <w:rFonts w:ascii="Cambria Math" w:hAnsi="Cambria Math"/>
          </w:rPr>
          <m:t>τ</m:t>
        </m:r>
      </m:oMath>
      <w:r>
        <w:t xml:space="preserve"> may seem heuristic, it often suffices to select </w:t>
      </w:r>
      <m:oMath>
        <m:r>
          <w:rPr>
            <w:rFonts w:ascii="Cambria Math" w:hAnsi="Cambria Math"/>
          </w:rPr>
          <m:t>τ</m:t>
        </m:r>
      </m:oMath>
      <w:r>
        <w:t xml:space="preserve"> so that the effective capacity of the leading segment matches the design requirement. Concretely, one can simulate a length-</w:t>
      </w:r>
      <m:oMath>
        <m:r>
          <w:rPr>
            <w:rFonts w:ascii="Cambria Math" w:hAnsi="Cambria Math"/>
          </w:rPr>
          <m:t>N/2</m:t>
        </m:r>
      </m:oMath>
      <w:r>
        <w:t xml:space="preserve"> polar code at the target code rate to identify the SNR corresponding to the desired BLER and then choose </w:t>
      </w:r>
      <m:oMath>
        <m:r>
          <w:rPr>
            <w:rFonts w:ascii="Cambria Math" w:hAnsi="Cambria Math"/>
          </w:rPr>
          <m:t>τ</m:t>
        </m:r>
      </m:oMath>
      <w:r>
        <w:t xml:space="preserve"> to achieve an equivalent effective SNR by rebalancing capacities.</w:t>
      </w:r>
    </w:p>
    <w:p w14:paraId="764AC074" w14:textId="77777777" w:rsidR="00622FDD" w:rsidRDefault="00622FDD" w:rsidP="001249AE">
      <w:pPr>
        <w:jc w:val="both"/>
      </w:pPr>
    </w:p>
    <w:p w14:paraId="0CA15971" w14:textId="3CDB8948" w:rsidR="001249AE" w:rsidRDefault="001249AE" w:rsidP="001249AE">
      <w:pPr>
        <w:jc w:val="both"/>
      </w:pPr>
      <w:r>
        <w:t>An effective construction is obtained by computing the reliability values of all synthesized bit-channels and selecting the best ones from the combined pool. This selection must also satisfy the rate constraints imposed by the two-stage decoding requirement. Reliability values can be obtained through several methods: 1) approximating the channels with binary erasure channels (BECs) of equal capacity and computing the corresponding Bhattacharyya parameters, 2) using the Tal–Vardy construction, 3) applying Gaussian approximation, 4) performing density evolution, or 5) conducting extensive Monte Carlo simulations. The only modification in PPP codes occurs in the first polarization layer, which is replaced by the partial polarization. Therefore, the construction algorithm must carefully track the specific channel combinations applied at each stage.</w:t>
      </w:r>
    </w:p>
    <w:p w14:paraId="3CBEB616" w14:textId="166E5A25" w:rsidR="008C3862" w:rsidRPr="008C3862" w:rsidRDefault="008C3862" w:rsidP="008C3862">
      <w:pPr>
        <w:spacing w:before="100" w:beforeAutospacing="1" w:after="100" w:afterAutospacing="1"/>
        <w:jc w:val="both"/>
        <w:rPr>
          <w:rFonts w:eastAsia="Times New Roman"/>
          <w:lang w:eastAsia="en-US"/>
        </w:rPr>
      </w:pPr>
      <w:r w:rsidRPr="008C3862">
        <w:rPr>
          <w:rFonts w:eastAsia="Times New Roman"/>
          <w:lang w:eastAsia="en-US"/>
        </w:rPr>
        <w:t xml:space="preserve">While existing methods often yield highly optimized frozen bit maps for successive cancellation (SC) decoding, they are less effective under successive cancellation list (SCL) decoding. This is because, with sufficiently large list sizes, SCL decoding approaches the performance of maximum-likelihood (ML) decoding. In this regime, the minimum distance of the code and its overall weight distribution play a more critical role than the bit-channel reliabilities derived under the assumption of purely sequential decoding. To address this, the </w:t>
      </w:r>
      <m:oMath>
        <m:r>
          <w:rPr>
            <w:rFonts w:ascii="Cambria Math" w:eastAsia="Times New Roman" w:hAnsi="Cambria Math"/>
            <w:lang w:eastAsia="en-US"/>
          </w:rPr>
          <m:t>β</m:t>
        </m:r>
      </m:oMath>
      <w:r w:rsidRPr="008C3862">
        <w:rPr>
          <w:rFonts w:eastAsia="Times New Roman"/>
          <w:lang w:eastAsia="en-US"/>
        </w:rPr>
        <w:t>-expansion method was introduced as a prominent approach for constructing reliability sequences tailored to SCL decoding and was later refined into the 5G NR sequence.</w:t>
      </w:r>
    </w:p>
    <w:p w14:paraId="7B5C3657" w14:textId="0AAEC6BA" w:rsidR="008C3862" w:rsidRPr="008C3862" w:rsidRDefault="008C3862" w:rsidP="008C3862">
      <w:pPr>
        <w:spacing w:before="100" w:beforeAutospacing="1" w:after="100" w:afterAutospacing="1"/>
        <w:jc w:val="both"/>
        <w:rPr>
          <w:rFonts w:eastAsia="Times New Roman"/>
          <w:lang w:eastAsia="en-US"/>
        </w:rPr>
      </w:pPr>
      <w:r w:rsidRPr="008C3862">
        <w:rPr>
          <w:rFonts w:eastAsia="Times New Roman"/>
          <w:lang w:eastAsia="en-US"/>
        </w:rPr>
        <w:t xml:space="preserve">The 5G NR sequence provides a robust frozen bit map for </w:t>
      </w:r>
      <w:r>
        <w:rPr>
          <w:rFonts w:eastAsia="Times New Roman"/>
          <w:lang w:eastAsia="en-US"/>
        </w:rPr>
        <w:t xml:space="preserve">any </w:t>
      </w:r>
      <m:oMath>
        <m:r>
          <w:rPr>
            <w:rFonts w:ascii="Cambria Math" w:eastAsia="Times New Roman" w:hAnsi="Cambria Math"/>
            <w:lang w:eastAsia="en-US"/>
          </w:rPr>
          <m:t>(N,K)</m:t>
        </m:r>
      </m:oMath>
      <w:r>
        <w:rPr>
          <w:rFonts w:eastAsia="Times New Roman"/>
          <w:lang w:eastAsia="en-US"/>
        </w:rPr>
        <w:t xml:space="preserve"> </w:t>
      </w:r>
      <w:r w:rsidRPr="008C3862">
        <w:rPr>
          <w:rFonts w:eastAsia="Times New Roman"/>
          <w:lang w:eastAsia="en-US"/>
        </w:rPr>
        <w:t xml:space="preserve">configuration, independent of the operating SNR. </w:t>
      </w:r>
      <w:r w:rsidRPr="008C3862">
        <w:rPr>
          <w:rFonts w:eastAsia="Times New Roman"/>
          <w:b/>
          <w:bCs/>
          <w:lang w:eastAsia="en-US"/>
        </w:rPr>
        <w:t>It is important to note that, PPP codes are fully compliant with the 5G NR sequence and therefore do not require a new sequence design</w:t>
      </w:r>
      <w:r w:rsidRPr="008C3862">
        <w:rPr>
          <w:rFonts w:eastAsia="Times New Roman"/>
          <w:lang w:eastAsia="en-US"/>
        </w:rPr>
        <w:t xml:space="preserve">. Let </w:t>
      </w:r>
      <m:oMath>
        <m:r>
          <w:rPr>
            <w:rFonts w:ascii="Cambria Math" w:eastAsia="Times New Roman" w:hAnsi="Cambria Math"/>
            <w:lang w:eastAsia="en-US"/>
          </w:rPr>
          <m:t>N</m:t>
        </m:r>
      </m:oMath>
      <w:r w:rsidRPr="008C3862">
        <w:rPr>
          <w:rFonts w:eastAsia="Times New Roman"/>
          <w:lang w:eastAsia="en-US"/>
        </w:rPr>
        <w:t xml:space="preserve"> and </w:t>
      </w:r>
      <m:oMath>
        <m:r>
          <w:rPr>
            <w:rFonts w:ascii="Cambria Math" w:eastAsia="Times New Roman" w:hAnsi="Cambria Math"/>
            <w:lang w:eastAsia="en-US"/>
          </w:rPr>
          <m:t>K</m:t>
        </m:r>
      </m:oMath>
      <w:r w:rsidRPr="008C3862">
        <w:rPr>
          <w:rFonts w:eastAsia="Times New Roman"/>
          <w:lang w:eastAsia="en-US"/>
        </w:rPr>
        <w:t xml:space="preserve"> denote the overall </w:t>
      </w:r>
      <w:r>
        <w:rPr>
          <w:rFonts w:eastAsia="Times New Roman"/>
          <w:lang w:eastAsia="en-US"/>
        </w:rPr>
        <w:t>code</w:t>
      </w:r>
      <w:r w:rsidRPr="008C3862">
        <w:rPr>
          <w:rFonts w:eastAsia="Times New Roman"/>
          <w:lang w:eastAsia="en-US"/>
        </w:rPr>
        <w:t xml:space="preserve"> length</w:t>
      </w:r>
      <w:r>
        <w:rPr>
          <w:rFonts w:eastAsia="Times New Roman"/>
          <w:lang w:eastAsia="en-US"/>
        </w:rPr>
        <w:t xml:space="preserve"> (without rate-matching)</w:t>
      </w:r>
      <w:r w:rsidRPr="008C3862">
        <w:rPr>
          <w:rFonts w:eastAsia="Times New Roman"/>
          <w:lang w:eastAsia="en-US"/>
        </w:rPr>
        <w:t xml:space="preserve"> and payload size, respectively. For a given PPP configuration, where </w:t>
      </w:r>
      <m:oMath>
        <m:r>
          <w:rPr>
            <w:rFonts w:ascii="Cambria Math" w:eastAsia="Times New Roman" w:hAnsi="Cambria Math"/>
            <w:lang w:eastAsia="en-US"/>
          </w:rPr>
          <m:t>(N,K)</m:t>
        </m:r>
      </m:oMath>
      <w:r w:rsidRPr="008C3862">
        <w:rPr>
          <w:rFonts w:eastAsia="Times New Roman"/>
          <w:lang w:eastAsia="en-US"/>
        </w:rPr>
        <w:t xml:space="preserve"> is partitioned into </w:t>
      </w:r>
      <m:oMath>
        <m:r>
          <w:rPr>
            <w:rFonts w:ascii="Cambria Math" w:eastAsia="Times New Roman" w:hAnsi="Cambria Math"/>
            <w:lang w:eastAsia="en-US"/>
          </w:rPr>
          <m:t>(</m:t>
        </m:r>
        <m:f>
          <m:fPr>
            <m:ctrlPr>
              <w:rPr>
                <w:rFonts w:ascii="Cambria Math" w:eastAsia="Times New Roman" w:hAnsi="Cambria Math"/>
                <w:i/>
                <w:lang w:eastAsia="en-US"/>
              </w:rPr>
            </m:ctrlPr>
          </m:fPr>
          <m:num>
            <m:r>
              <w:rPr>
                <w:rFonts w:ascii="Cambria Math" w:eastAsia="Times New Roman" w:hAnsi="Cambria Math"/>
                <w:lang w:eastAsia="en-US"/>
              </w:rPr>
              <m:t>N</m:t>
            </m:r>
          </m:num>
          <m:den>
            <m:r>
              <w:rPr>
                <w:rFonts w:ascii="Cambria Math" w:eastAsia="Times New Roman" w:hAnsi="Cambria Math"/>
                <w:lang w:eastAsia="en-US"/>
              </w:rPr>
              <m:t>2</m:t>
            </m:r>
          </m:den>
        </m:f>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1</m:t>
            </m:r>
          </m:sub>
        </m:sSub>
        <m:r>
          <w:rPr>
            <w:rFonts w:ascii="Cambria Math" w:eastAsia="Times New Roman" w:hAnsi="Cambria Math"/>
            <w:lang w:eastAsia="en-US"/>
          </w:rPr>
          <m:t>)</m:t>
        </m:r>
      </m:oMath>
      <w:r>
        <w:rPr>
          <w:rFonts w:eastAsia="Times New Roman"/>
          <w:lang w:eastAsia="en-US"/>
        </w:rPr>
        <w:t xml:space="preserve"> </w:t>
      </w:r>
      <w:r w:rsidRPr="008C3862">
        <w:rPr>
          <w:rFonts w:eastAsia="Times New Roman"/>
          <w:lang w:eastAsia="en-US"/>
        </w:rPr>
        <w:t xml:space="preserve">and </w:t>
      </w:r>
      <m:oMath>
        <m:r>
          <w:rPr>
            <w:rFonts w:ascii="Cambria Math" w:eastAsia="Times New Roman" w:hAnsi="Cambria Math"/>
            <w:lang w:eastAsia="en-US"/>
          </w:rPr>
          <m:t>(</m:t>
        </m:r>
        <m:f>
          <m:fPr>
            <m:ctrlPr>
              <w:rPr>
                <w:rFonts w:ascii="Cambria Math" w:eastAsia="Times New Roman" w:hAnsi="Cambria Math"/>
                <w:i/>
                <w:lang w:eastAsia="en-US"/>
              </w:rPr>
            </m:ctrlPr>
          </m:fPr>
          <m:num>
            <m:r>
              <w:rPr>
                <w:rFonts w:ascii="Cambria Math" w:eastAsia="Times New Roman" w:hAnsi="Cambria Math"/>
                <w:lang w:eastAsia="en-US"/>
              </w:rPr>
              <m:t>N</m:t>
            </m:r>
          </m:num>
          <m:den>
            <m:r>
              <w:rPr>
                <w:rFonts w:ascii="Cambria Math" w:eastAsia="Times New Roman" w:hAnsi="Cambria Math"/>
                <w:lang w:eastAsia="en-US"/>
              </w:rPr>
              <m:t>2</m:t>
            </m:r>
          </m:den>
        </m:f>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2</m:t>
            </m:r>
          </m:sub>
        </m:sSub>
        <m:r>
          <w:rPr>
            <w:rFonts w:ascii="Cambria Math" w:eastAsia="Times New Roman" w:hAnsi="Cambria Math"/>
            <w:lang w:eastAsia="en-US"/>
          </w:rPr>
          <m:t>)</m:t>
        </m:r>
      </m:oMath>
      <w:r w:rsidRPr="008C3862">
        <w:rPr>
          <w:rFonts w:eastAsia="Times New Roman"/>
          <w:lang w:eastAsia="en-US"/>
        </w:rPr>
        <w:t xml:space="preserve">, the frozen bit map for each segment can be directly derived from the existing 5G NR sequence by selecting the </w:t>
      </w:r>
      <m:oMath>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1</m:t>
            </m:r>
          </m:sub>
        </m:sSub>
      </m:oMath>
      <w:r w:rsidRPr="008C3862">
        <w:rPr>
          <w:rFonts w:eastAsia="Times New Roman"/>
          <w:lang w:eastAsia="en-US"/>
        </w:rPr>
        <w:t xml:space="preserve">​ and </w:t>
      </w:r>
      <m:oMath>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2</m:t>
            </m:r>
          </m:sub>
        </m:sSub>
      </m:oMath>
      <w:r w:rsidRPr="008C3862">
        <w:rPr>
          <w:rFonts w:eastAsia="Times New Roman"/>
          <w:lang w:eastAsia="en-US"/>
        </w:rPr>
        <w:t>​ most reliable indices corresponding to length-</w:t>
      </w:r>
      <m:oMath>
        <m:f>
          <m:fPr>
            <m:ctrlPr>
              <w:rPr>
                <w:rFonts w:ascii="Cambria Math" w:eastAsia="Times New Roman" w:hAnsi="Cambria Math"/>
                <w:i/>
                <w:lang w:eastAsia="en-US"/>
              </w:rPr>
            </m:ctrlPr>
          </m:fPr>
          <m:num>
            <m:r>
              <w:rPr>
                <w:rFonts w:ascii="Cambria Math" w:eastAsia="Times New Roman" w:hAnsi="Cambria Math"/>
                <w:lang w:eastAsia="en-US"/>
              </w:rPr>
              <m:t>N</m:t>
            </m:r>
          </m:num>
          <m:den>
            <m:r>
              <w:rPr>
                <w:rFonts w:ascii="Cambria Math" w:eastAsia="Times New Roman" w:hAnsi="Cambria Math"/>
                <w:lang w:eastAsia="en-US"/>
              </w:rPr>
              <m:t>2</m:t>
            </m:r>
          </m:den>
        </m:f>
      </m:oMath>
      <w:r w:rsidRPr="008C3862">
        <w:rPr>
          <w:rFonts w:eastAsia="Times New Roman"/>
          <w:lang w:eastAsia="en-US"/>
        </w:rPr>
        <w:t xml:space="preserve"> polar codes.</w:t>
      </w:r>
    </w:p>
    <w:p w14:paraId="6DC774DE" w14:textId="5ACE5C6D" w:rsidR="001249AE" w:rsidRDefault="008C3862" w:rsidP="008C3862">
      <w:pPr>
        <w:jc w:val="both"/>
      </w:pPr>
      <w:r w:rsidRPr="008C3862">
        <w:t xml:space="preserve">Hence, for PPP to be incorporated into the standard while remaining fully compatible with 5G NR, it is sufficient to provide a supplementary instruction for partitioning </w:t>
      </w:r>
      <m:oMath>
        <m:r>
          <w:rPr>
            <w:rFonts w:ascii="Cambria Math" w:hAnsi="Cambria Math"/>
          </w:rPr>
          <m:t>K</m:t>
        </m:r>
      </m:oMath>
      <w:r w:rsidRPr="008C3862">
        <w:t xml:space="preserve"> into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8C3862">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rsidRPr="008C3862">
        <w:t xml:space="preserve">​ according to a given partial polarization ratio. This partitioning can be achieved either by computing the Bhattacharyya parameters offline to approximate the segment capacities, or by employing a novel method based on </w:t>
      </w:r>
      <m:oMath>
        <m:r>
          <w:rPr>
            <w:rFonts w:ascii="Cambria Math" w:hAnsi="Cambria Math"/>
          </w:rPr>
          <m:t>αβ</m:t>
        </m:r>
      </m:oMath>
      <w:r>
        <w:t>-</w:t>
      </w:r>
      <w:r w:rsidRPr="008C3862">
        <w:t>expansion, as described below.</w:t>
      </w:r>
    </w:p>
    <w:p w14:paraId="216E5D1A" w14:textId="77777777" w:rsidR="008C3862" w:rsidRDefault="008C3862" w:rsidP="001249AE"/>
    <w:p w14:paraId="162BE02C" w14:textId="6A8D8EE1" w:rsidR="001249AE" w:rsidRDefault="001249AE" w:rsidP="001249AE">
      <w:r w:rsidRPr="001249AE">
        <w:t xml:space="preserve">For a given </w:t>
      </w:r>
      <m:oMath>
        <m:r>
          <w:rPr>
            <w:rFonts w:ascii="Cambria Math" w:hAnsi="Cambria Math"/>
          </w:rPr>
          <m:t>j∈{1,2,…,N=</m:t>
        </m:r>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m:t>
        </m:r>
      </m:oMath>
      <w:r w:rsidRPr="001249AE">
        <w:t xml:space="preserve"> let</w:t>
      </w:r>
    </w:p>
    <w:p w14:paraId="547825CA" w14:textId="77777777" w:rsidR="001249AE" w:rsidRDefault="001249AE" w:rsidP="001249AE"/>
    <w:p w14:paraId="039D6E40" w14:textId="45358223" w:rsidR="001249AE" w:rsidRPr="001249AE" w:rsidRDefault="001249AE" w:rsidP="001249AE">
      <m:oMathPara>
        <m:oMath>
          <m:r>
            <w:rPr>
              <w:rFonts w:ascii="Cambria Math" w:hAnsi="Cambria Math"/>
            </w:rPr>
            <m:t xml:space="preserve">j-1 = </m:t>
          </m:r>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e>
              </m:d>
            </m:e>
            <m:sub>
              <m:r>
                <w:rPr>
                  <w:rFonts w:ascii="Cambria Math" w:hAnsi="Cambria Math"/>
                </w:rPr>
                <m:t>2</m:t>
              </m:r>
            </m:sub>
          </m:sSub>
        </m:oMath>
      </m:oMathPara>
    </w:p>
    <w:p w14:paraId="5E53DEC1" w14:textId="77777777" w:rsidR="001249AE" w:rsidRPr="001249AE" w:rsidRDefault="001249AE" w:rsidP="001249AE"/>
    <w:p w14:paraId="2960618F" w14:textId="4A5B15CD" w:rsidR="001249AE" w:rsidRDefault="001249AE" w:rsidP="001249AE">
      <w:r w:rsidRPr="001249AE">
        <w:t xml:space="preserve">denote its binary expansion. The </w:t>
      </w:r>
      <m:oMath>
        <m:r>
          <w:rPr>
            <w:rFonts w:ascii="Cambria Math" w:hAnsi="Cambria Math"/>
          </w:rPr>
          <m:t>β</m:t>
        </m:r>
      </m:oMath>
      <w:r w:rsidRPr="001249AE">
        <w:t>-expansion method assigns the following reliability metric to the j-th bit-channel in a conventional polar code:</w:t>
      </w:r>
    </w:p>
    <w:p w14:paraId="3F12D96A" w14:textId="77777777" w:rsidR="001249AE" w:rsidRDefault="001249AE" w:rsidP="001249AE"/>
    <w:p w14:paraId="0C5D5892" w14:textId="51AEF1F7" w:rsidR="001249AE" w:rsidRPr="001249AE" w:rsidRDefault="00000000" w:rsidP="001249AE">
      <m:oMathPara>
        <m:oMath>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 xml:space="preserve"> = </m:t>
          </m:r>
          <m:nary>
            <m:naryPr>
              <m:chr m:val="∑"/>
              <m:limLoc m:val="subSup"/>
              <m:ctrlPr>
                <w:rPr>
                  <w:rFonts w:ascii="Cambria Math" w:hAnsi="Cambria Math"/>
                  <w:i/>
                </w:rPr>
              </m:ctrlPr>
            </m:naryPr>
            <m:sub>
              <m:r>
                <w:rPr>
                  <w:rFonts w:ascii="Cambria Math" w:hAnsi="Cambria Math"/>
                </w:rPr>
                <m:t>t=1</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t</m:t>
                  </m:r>
                </m:sub>
              </m:sSub>
              <m:sSup>
                <m:sSupPr>
                  <m:ctrlPr>
                    <w:rPr>
                      <w:rFonts w:ascii="Cambria Math" w:hAnsi="Cambria Math"/>
                      <w:i/>
                    </w:rPr>
                  </m:ctrlPr>
                </m:sSupPr>
                <m:e>
                  <m:r>
                    <w:rPr>
                      <w:rFonts w:ascii="Cambria Math" w:hAnsi="Cambria Math"/>
                    </w:rPr>
                    <m:t>β</m:t>
                  </m:r>
                </m:e>
                <m:sup>
                  <m:r>
                    <w:rPr>
                      <w:rFonts w:ascii="Cambria Math" w:hAnsi="Cambria Math"/>
                    </w:rPr>
                    <m:t>t</m:t>
                  </m:r>
                </m:sup>
              </m:sSup>
            </m:e>
          </m:nary>
          <m:r>
            <w:rPr>
              <w:rFonts w:ascii="Cambria Math" w:hAnsi="Cambria Math"/>
            </w:rPr>
            <m:t>,</m:t>
          </m:r>
        </m:oMath>
      </m:oMathPara>
    </w:p>
    <w:p w14:paraId="4BE60C7B" w14:textId="77777777" w:rsidR="001249AE" w:rsidRDefault="001249AE" w:rsidP="001249AE"/>
    <w:p w14:paraId="62F57293" w14:textId="58316F4A" w:rsidR="001249AE" w:rsidRDefault="001249AE" w:rsidP="001249AE">
      <w:pPr>
        <w:jc w:val="both"/>
      </w:pPr>
      <w:r>
        <w:t xml:space="preserve">where </w:t>
      </w:r>
      <m:oMath>
        <m:r>
          <w:rPr>
            <w:rFonts w:ascii="Cambria Math" w:hAnsi="Cambria Math"/>
          </w:rPr>
          <m:t>β≈</m:t>
        </m:r>
        <m:sSup>
          <m:sSupPr>
            <m:ctrlPr>
              <w:rPr>
                <w:rFonts w:ascii="Cambria Math" w:hAnsi="Cambria Math"/>
                <w:i/>
              </w:rPr>
            </m:ctrlPr>
          </m:sSupPr>
          <m:e>
            <m:r>
              <w:rPr>
                <w:rFonts w:ascii="Cambria Math" w:hAnsi="Cambria Math"/>
              </w:rPr>
              <m:t>2</m:t>
            </m:r>
          </m:e>
          <m:sup>
            <m:r>
              <w:rPr>
                <w:rFonts w:ascii="Cambria Math" w:hAnsi="Cambria Math"/>
              </w:rPr>
              <m:t>1/4</m:t>
            </m:r>
          </m:sup>
        </m:sSup>
      </m:oMath>
      <w:r>
        <w:t xml:space="preserve">. </w:t>
      </w:r>
      <w:r w:rsidRPr="001249AE">
        <w:t>Bit-channels with larger metrics are considered more reliable. This aligns with prioritizing higher-weight rows in the polar transformation matrix, thereby improving the minimum distance properties of the overall code.</w:t>
      </w:r>
    </w:p>
    <w:p w14:paraId="0EB3E817" w14:textId="77777777" w:rsidR="001249AE" w:rsidRDefault="001249AE" w:rsidP="001249AE">
      <w:pPr>
        <w:jc w:val="both"/>
      </w:pPr>
    </w:p>
    <w:p w14:paraId="7FBA4DA7" w14:textId="7F8BF37E" w:rsidR="001249AE" w:rsidRDefault="001249AE" w:rsidP="001249AE">
      <w:pPr>
        <w:jc w:val="both"/>
      </w:pPr>
      <w:r>
        <w:t xml:space="preserve">Note that the leading coefficient </w:t>
      </w:r>
      <m:oMath>
        <m:sSub>
          <m:sSubPr>
            <m:ctrlPr>
              <w:rPr>
                <w:rFonts w:ascii="Cambria Math" w:hAnsi="Cambria Math"/>
                <w:i/>
              </w:rPr>
            </m:ctrlPr>
          </m:sSubPr>
          <m:e>
            <m:r>
              <w:rPr>
                <w:rFonts w:ascii="Cambria Math" w:hAnsi="Cambria Math"/>
              </w:rPr>
              <m:t>a</m:t>
            </m:r>
          </m:e>
          <m:sub>
            <m:r>
              <w:rPr>
                <w:rFonts w:ascii="Cambria Math" w:hAnsi="Cambria Math"/>
              </w:rPr>
              <m:t>n</m:t>
            </m:r>
          </m:sub>
        </m:sSub>
      </m:oMath>
      <w:r>
        <w:t xml:space="preserve"> determines whether the bit-channel belongs to the first or the second segment. In a conventional polar code, the first polarization step has the greatest impact on the final reliability, and thus it is assigned the largest multiplier </w:t>
      </w:r>
      <m:oMath>
        <m:sSup>
          <m:sSupPr>
            <m:ctrlPr>
              <w:rPr>
                <w:rFonts w:ascii="Cambria Math" w:hAnsi="Cambria Math"/>
                <w:i/>
              </w:rPr>
            </m:ctrlPr>
          </m:sSupPr>
          <m:e>
            <m:r>
              <w:rPr>
                <w:rFonts w:ascii="Cambria Math" w:hAnsi="Cambria Math"/>
              </w:rPr>
              <m:t>β</m:t>
            </m:r>
          </m:e>
          <m:sup>
            <m:r>
              <w:rPr>
                <w:rFonts w:ascii="Cambria Math" w:hAnsi="Cambria Math"/>
              </w:rPr>
              <m:t>n</m:t>
            </m:r>
          </m:sup>
        </m:sSup>
      </m:oMath>
      <w:r>
        <w:t xml:space="preserve">. In PPP codes, however, this might not hold. For example, when </w:t>
      </w:r>
      <m:oMath>
        <m:r>
          <w:rPr>
            <w:rFonts w:ascii="Cambria Math" w:hAnsi="Cambria Math"/>
          </w:rPr>
          <m:t>τ= 0</m:t>
        </m:r>
      </m:oMath>
      <w:r>
        <w:t>, there is no inter-segment coding, and hence it is irrelevant which segment the bit-channel belongs to. Conversely, when</w:t>
      </w:r>
      <w:r w:rsidRPr="001249AE">
        <w:rPr>
          <w:rFonts w:ascii="Cambria Math" w:hAnsi="Cambria Math"/>
          <w:i/>
        </w:rPr>
        <w:t xml:space="preserve"> </w:t>
      </w:r>
      <m:oMath>
        <m:r>
          <w:rPr>
            <w:rFonts w:ascii="Cambria Math" w:hAnsi="Cambria Math"/>
          </w:rPr>
          <m:t>τ=1</m:t>
        </m:r>
      </m:oMath>
      <w:r>
        <w:t xml:space="preserve">, the PPP code reduces to a conventional polar code. Motivated by this observation, we propose the following modified metric, referred to as the </w:t>
      </w:r>
      <m:oMath>
        <m:r>
          <w:rPr>
            <w:rFonts w:ascii="Cambria Math" w:hAnsi="Cambria Math"/>
          </w:rPr>
          <m:t>αβ</m:t>
        </m:r>
      </m:oMath>
      <w:r>
        <w:t>-expansion:</w:t>
      </w:r>
    </w:p>
    <w:p w14:paraId="2C9A8390" w14:textId="7739496F" w:rsidR="001249AE" w:rsidRDefault="00E84C24" w:rsidP="001249AE">
      <w:r>
        <w:rPr>
          <w:noProof/>
        </w:rPr>
        <w:drawing>
          <wp:anchor distT="0" distB="0" distL="114300" distR="114300" simplePos="0" relativeHeight="251667456" behindDoc="0" locked="0" layoutInCell="1" allowOverlap="1" wp14:anchorId="0A74496A" wp14:editId="0431C4D4">
            <wp:simplePos x="0" y="0"/>
            <wp:positionH relativeFrom="margin">
              <wp:posOffset>372745</wp:posOffset>
            </wp:positionH>
            <wp:positionV relativeFrom="paragraph">
              <wp:posOffset>781610</wp:posOffset>
            </wp:positionV>
            <wp:extent cx="5374640" cy="4168140"/>
            <wp:effectExtent l="0" t="0" r="0" b="0"/>
            <wp:wrapTopAndBottom/>
            <wp:docPr id="1811627037" name="Picture 4"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627037" name="Picture 4" descr="A graph with colored lines&#10;&#10;AI-generated content may be incorrect."/>
                    <pic:cNvPicPr/>
                  </pic:nvPicPr>
                  <pic:blipFill rotWithShape="1">
                    <a:blip r:embed="rId11"/>
                    <a:srcRect r="40941" b="18577"/>
                    <a:stretch>
                      <a:fillRect/>
                    </a:stretch>
                  </pic:blipFill>
                  <pic:spPr bwMode="auto">
                    <a:xfrm>
                      <a:off x="0" y="0"/>
                      <a:ext cx="5374640" cy="41681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5968E1" w14:textId="042EE953" w:rsidR="001249AE" w:rsidRDefault="00000000" w:rsidP="001249AE">
      <m:oMathPara>
        <m:oMath>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 xml:space="preserve"> =α</m:t>
          </m:r>
          <m:d>
            <m:dPr>
              <m:ctrlPr>
                <w:rPr>
                  <w:rFonts w:ascii="Cambria Math" w:hAnsi="Cambria Math"/>
                  <w:i/>
                </w:rPr>
              </m:ctrlPr>
            </m:dPr>
            <m:e>
              <m:r>
                <w:rPr>
                  <w:rFonts w:ascii="Cambria Math" w:hAnsi="Cambria Math"/>
                </w:rPr>
                <m:t>τ</m:t>
              </m:r>
            </m:e>
          </m:d>
          <m:sSub>
            <m:sSubPr>
              <m:ctrlPr>
                <w:rPr>
                  <w:rFonts w:ascii="Cambria Math" w:hAnsi="Cambria Math"/>
                  <w:i/>
                </w:rPr>
              </m:ctrlPr>
            </m:sSubPr>
            <m:e>
              <m:r>
                <w:rPr>
                  <w:rFonts w:ascii="Cambria Math" w:hAnsi="Cambria Math"/>
                </w:rPr>
                <m:t>a</m:t>
              </m:r>
            </m:e>
            <m:sub>
              <m:r>
                <w:rPr>
                  <w:rFonts w:ascii="Cambria Math" w:hAnsi="Cambria Math"/>
                </w:rPr>
                <m:t>n</m:t>
              </m:r>
            </m:sub>
          </m:sSub>
          <m:sSup>
            <m:sSupPr>
              <m:ctrlPr>
                <w:rPr>
                  <w:rFonts w:ascii="Cambria Math" w:hAnsi="Cambria Math"/>
                  <w:i/>
                </w:rPr>
              </m:ctrlPr>
            </m:sSupPr>
            <m:e>
              <m:r>
                <w:rPr>
                  <w:rFonts w:ascii="Cambria Math" w:hAnsi="Cambria Math"/>
                </w:rPr>
                <m:t>β</m:t>
              </m:r>
            </m:e>
            <m:sup>
              <m:r>
                <w:rPr>
                  <w:rFonts w:ascii="Cambria Math" w:hAnsi="Cambria Math"/>
                </w:rPr>
                <m:t>n</m:t>
              </m:r>
            </m:sup>
          </m:sSup>
          <m:r>
            <w:rPr>
              <w:rFonts w:ascii="Cambria Math" w:hAnsi="Cambria Math"/>
            </w:rPr>
            <m:t xml:space="preserve"> + </m:t>
          </m:r>
          <m:nary>
            <m:naryPr>
              <m:chr m:val="∑"/>
              <m:limLoc m:val="subSup"/>
              <m:ctrlPr>
                <w:rPr>
                  <w:rFonts w:ascii="Cambria Math" w:hAnsi="Cambria Math"/>
                  <w:i/>
                </w:rPr>
              </m:ctrlPr>
            </m:naryPr>
            <m:sub>
              <m:r>
                <w:rPr>
                  <w:rFonts w:ascii="Cambria Math" w:hAnsi="Cambria Math"/>
                </w:rPr>
                <m:t>t=1</m:t>
              </m:r>
            </m:sub>
            <m:sup>
              <m:r>
                <w:rPr>
                  <w:rFonts w:ascii="Cambria Math" w:hAnsi="Cambria Math"/>
                </w:rPr>
                <m:t>n-1</m:t>
              </m:r>
            </m:sup>
            <m:e>
              <m:sSub>
                <m:sSubPr>
                  <m:ctrlPr>
                    <w:rPr>
                      <w:rFonts w:ascii="Cambria Math" w:hAnsi="Cambria Math"/>
                      <w:i/>
                    </w:rPr>
                  </m:ctrlPr>
                </m:sSubPr>
                <m:e>
                  <m:r>
                    <w:rPr>
                      <w:rFonts w:ascii="Cambria Math" w:hAnsi="Cambria Math"/>
                    </w:rPr>
                    <m:t>a</m:t>
                  </m:r>
                </m:e>
                <m:sub>
                  <m:r>
                    <w:rPr>
                      <w:rFonts w:ascii="Cambria Math" w:hAnsi="Cambria Math"/>
                    </w:rPr>
                    <m:t>t</m:t>
                  </m:r>
                </m:sub>
              </m:sSub>
              <m:sSup>
                <m:sSupPr>
                  <m:ctrlPr>
                    <w:rPr>
                      <w:rFonts w:ascii="Cambria Math" w:hAnsi="Cambria Math"/>
                      <w:i/>
                    </w:rPr>
                  </m:ctrlPr>
                </m:sSupPr>
                <m:e>
                  <m:r>
                    <w:rPr>
                      <w:rFonts w:ascii="Cambria Math" w:hAnsi="Cambria Math"/>
                    </w:rPr>
                    <m:t>β</m:t>
                  </m:r>
                </m:e>
                <m:sup>
                  <m:r>
                    <w:rPr>
                      <w:rFonts w:ascii="Cambria Math" w:hAnsi="Cambria Math"/>
                    </w:rPr>
                    <m:t>t</m:t>
                  </m:r>
                </m:sup>
              </m:sSup>
            </m:e>
          </m:nary>
          <m:r>
            <w:rPr>
              <w:rFonts w:ascii="Cambria Math" w:hAnsi="Cambria Math"/>
            </w:rPr>
            <m:t>,</m:t>
          </m:r>
        </m:oMath>
      </m:oMathPara>
    </w:p>
    <w:p w14:paraId="710A91E1" w14:textId="7354FF03" w:rsidR="001249AE" w:rsidRDefault="001249AE" w:rsidP="000827D7">
      <w:pPr>
        <w:jc w:val="both"/>
      </w:pPr>
    </w:p>
    <w:p w14:paraId="06ABA693" w14:textId="6BC328DF" w:rsidR="001249AE" w:rsidRDefault="001249AE" w:rsidP="00E84C24">
      <w:pPr>
        <w:jc w:val="both"/>
      </w:pPr>
      <w:r>
        <w:rPr>
          <w:noProof/>
        </w:rPr>
        <mc:AlternateContent>
          <mc:Choice Requires="wps">
            <w:drawing>
              <wp:anchor distT="0" distB="0" distL="114300" distR="114300" simplePos="0" relativeHeight="251669504" behindDoc="0" locked="0" layoutInCell="1" allowOverlap="1" wp14:anchorId="0957561A" wp14:editId="413540D4">
                <wp:simplePos x="0" y="0"/>
                <wp:positionH relativeFrom="column">
                  <wp:posOffset>997223</wp:posOffset>
                </wp:positionH>
                <wp:positionV relativeFrom="paragraph">
                  <wp:posOffset>4226560</wp:posOffset>
                </wp:positionV>
                <wp:extent cx="4246880" cy="635"/>
                <wp:effectExtent l="0" t="0" r="0" b="635"/>
                <wp:wrapTopAndBottom/>
                <wp:docPr id="531137552" name="Text Box 1"/>
                <wp:cNvGraphicFramePr/>
                <a:graphic xmlns:a="http://schemas.openxmlformats.org/drawingml/2006/main">
                  <a:graphicData uri="http://schemas.microsoft.com/office/word/2010/wordprocessingShape">
                    <wps:wsp>
                      <wps:cNvSpPr txBox="1"/>
                      <wps:spPr>
                        <a:xfrm>
                          <a:off x="0" y="0"/>
                          <a:ext cx="4246880" cy="635"/>
                        </a:xfrm>
                        <a:prstGeom prst="rect">
                          <a:avLst/>
                        </a:prstGeom>
                        <a:solidFill>
                          <a:prstClr val="white"/>
                        </a:solidFill>
                        <a:ln>
                          <a:noFill/>
                        </a:ln>
                      </wps:spPr>
                      <wps:txbx>
                        <w:txbxContent>
                          <w:p w14:paraId="7C2CB449" w14:textId="17FCD7B9" w:rsidR="001249AE" w:rsidRPr="001249AE" w:rsidRDefault="001249AE" w:rsidP="001249AE">
                            <w:pPr>
                              <w:pStyle w:val="Caption"/>
                              <w:rPr>
                                <w:b w:val="0"/>
                                <w:bCs w:val="0"/>
                              </w:rPr>
                            </w:pPr>
                            <w:bookmarkStart w:id="2" w:name="_Ref209772599"/>
                            <w:r w:rsidRPr="001249AE">
                              <w:rPr>
                                <w:b w:val="0"/>
                                <w:bCs w:val="0"/>
                              </w:rPr>
                              <w:t xml:space="preserve">Figure </w:t>
                            </w:r>
                            <w:r w:rsidRPr="001249AE">
                              <w:rPr>
                                <w:b w:val="0"/>
                                <w:bCs w:val="0"/>
                              </w:rPr>
                              <w:fldChar w:fldCharType="begin"/>
                            </w:r>
                            <w:r w:rsidRPr="001249AE">
                              <w:rPr>
                                <w:b w:val="0"/>
                                <w:bCs w:val="0"/>
                              </w:rPr>
                              <w:instrText xml:space="preserve"> SEQ Figure \* ARABIC </w:instrText>
                            </w:r>
                            <w:r w:rsidRPr="001249AE">
                              <w:rPr>
                                <w:b w:val="0"/>
                                <w:bCs w:val="0"/>
                              </w:rPr>
                              <w:fldChar w:fldCharType="separate"/>
                            </w:r>
                            <w:r w:rsidR="00612C03">
                              <w:rPr>
                                <w:b w:val="0"/>
                                <w:bCs w:val="0"/>
                                <w:noProof/>
                              </w:rPr>
                              <w:t>4</w:t>
                            </w:r>
                            <w:r w:rsidRPr="001249AE">
                              <w:rPr>
                                <w:b w:val="0"/>
                                <w:bCs w:val="0"/>
                              </w:rPr>
                              <w:fldChar w:fldCharType="end"/>
                            </w:r>
                            <w:bookmarkEnd w:id="2"/>
                            <w:r w:rsidRPr="001249AE">
                              <w:rPr>
                                <w:b w:val="0"/>
                                <w:bCs w:val="0"/>
                              </w:rPr>
                              <w:t>. Performance comparison of PPP constructions (</w:t>
                            </w:r>
                            <m:oMath>
                              <m:r>
                                <m:rPr>
                                  <m:sty m:val="bi"/>
                                </m:rPr>
                                <w:rPr>
                                  <w:rFonts w:ascii="Cambria Math" w:hAnsi="Cambria Math"/>
                                </w:rPr>
                                <m:t>N,K,L)=</m:t>
                              </m:r>
                              <m:d>
                                <m:dPr>
                                  <m:ctrlPr>
                                    <w:rPr>
                                      <w:rFonts w:ascii="Cambria Math" w:hAnsi="Cambria Math"/>
                                      <w:b w:val="0"/>
                                      <w:bCs w:val="0"/>
                                      <w:i/>
                                    </w:rPr>
                                  </m:ctrlPr>
                                </m:dPr>
                                <m:e>
                                  <m:r>
                                    <m:rPr>
                                      <m:sty m:val="bi"/>
                                    </m:rPr>
                                    <w:rPr>
                                      <w:rFonts w:ascii="Cambria Math" w:hAnsi="Cambria Math"/>
                                    </w:rPr>
                                    <m:t>64,32,16</m:t>
                                  </m:r>
                                </m:e>
                              </m:d>
                              <m:r>
                                <m:rPr>
                                  <m:sty m:val="bi"/>
                                </m:rPr>
                                <w:rPr>
                                  <w:rFonts w:ascii="Cambria Math" w:hAnsi="Cambria Math"/>
                                </w:rPr>
                                <m:t>.</m:t>
                              </m:r>
                            </m:oMath>
                            <w:r w:rsidRPr="001249AE">
                              <w:rPr>
                                <w:b w:val="0"/>
                                <w:bCs w:val="0"/>
                              </w:rPr>
                              <w:t xml:space="preserve"> PPP significantly outperforms segmentation and approaches the performance of the larger polar code.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957561A" id="_x0000_s1029" type="#_x0000_t202" style="position:absolute;left:0;text-align:left;margin-left:78.5pt;margin-top:332.8pt;width:334.4pt;height:.0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" stroked="f">
                <v:textbox style="mso-fit-shape-to-text:t" inset="0,0,0,0">
                  <w:txbxContent>
                    <w:p w14:paraId="7C2CB449" w14:textId="17FCD7B9" w:rsidR="001249AE" w:rsidRPr="001249AE" w:rsidRDefault="001249AE" w:rsidP="001249AE">
                      <w:pPr>
                        <w:pStyle w:val="Caption"/>
                        <w:rPr>
                          <w:b w:val="0"/>
                          <w:bCs w:val="0"/>
                        </w:rPr>
                      </w:pPr>
                      <w:bookmarkStart w:id="5" w:name="_Ref209772599"/>
                      <w:r w:rsidRPr="001249AE">
                        <w:rPr>
                          <w:b w:val="0"/>
                          <w:bCs w:val="0"/>
                        </w:rPr>
                        <w:t xml:space="preserve">Figure </w:t>
                      </w:r>
                      <w:r w:rsidRPr="001249AE">
                        <w:rPr>
                          <w:b w:val="0"/>
                          <w:bCs w:val="0"/>
                        </w:rPr>
                        <w:fldChar w:fldCharType="begin"/>
                      </w:r>
                      <w:r w:rsidRPr="001249AE">
                        <w:rPr>
                          <w:b w:val="0"/>
                          <w:bCs w:val="0"/>
                        </w:rPr>
                        <w:instrText xml:space="preserve"> SEQ Figure \* ARABIC </w:instrText>
                      </w:r>
                      <w:r w:rsidRPr="001249AE">
                        <w:rPr>
                          <w:b w:val="0"/>
                          <w:bCs w:val="0"/>
                        </w:rPr>
                        <w:fldChar w:fldCharType="separate"/>
                      </w:r>
                      <w:r w:rsidR="00612C03">
                        <w:rPr>
                          <w:b w:val="0"/>
                          <w:bCs w:val="0"/>
                          <w:noProof/>
                        </w:rPr>
                        <w:t>4</w:t>
                      </w:r>
                      <w:r w:rsidRPr="001249AE">
                        <w:rPr>
                          <w:b w:val="0"/>
                          <w:bCs w:val="0"/>
                        </w:rPr>
                        <w:fldChar w:fldCharType="end"/>
                      </w:r>
                      <w:bookmarkEnd w:id="5"/>
                      <w:r w:rsidRPr="001249AE">
                        <w:rPr>
                          <w:b w:val="0"/>
                          <w:bCs w:val="0"/>
                        </w:rPr>
                        <w:t>. Performance comparison of PPP constructions (</w:t>
                      </w:r>
                      <m:oMath>
                        <m:r>
                          <m:rPr>
                            <m:sty m:val="bi"/>
                          </m:rPr>
                          <w:rPr>
                            <w:rFonts w:ascii="Cambria Math" w:hAnsi="Cambria Math"/>
                          </w:rPr>
                          <m:t>N,K,L)=</m:t>
                        </m:r>
                        <m:d>
                          <m:dPr>
                            <m:ctrlPr>
                              <w:rPr>
                                <w:rFonts w:ascii="Cambria Math" w:hAnsi="Cambria Math"/>
                                <w:b w:val="0"/>
                                <w:bCs w:val="0"/>
                                <w:i/>
                              </w:rPr>
                            </m:ctrlPr>
                          </m:dPr>
                          <m:e>
                            <m:r>
                              <m:rPr>
                                <m:sty m:val="bi"/>
                              </m:rPr>
                              <w:rPr>
                                <w:rFonts w:ascii="Cambria Math" w:hAnsi="Cambria Math"/>
                              </w:rPr>
                              <m:t>64,32,16</m:t>
                            </m:r>
                          </m:e>
                        </m:d>
                        <m:r>
                          <m:rPr>
                            <m:sty m:val="bi"/>
                          </m:rPr>
                          <w:rPr>
                            <w:rFonts w:ascii="Cambria Math" w:hAnsi="Cambria Math"/>
                          </w:rPr>
                          <m:t>.</m:t>
                        </m:r>
                      </m:oMath>
                      <w:r w:rsidRPr="001249AE">
                        <w:rPr>
                          <w:b w:val="0"/>
                          <w:bCs w:val="0"/>
                        </w:rPr>
                        <w:t xml:space="preserve"> PPP significantly outperforms segmentation and approaches the performance of the larger polar code.</w:t>
                      </w:r>
                    </w:p>
                  </w:txbxContent>
                </v:textbox>
                <w10:wrap type="topAndBottom"/>
              </v:shape>
            </w:pict>
          </mc:Fallback>
        </mc:AlternateContent>
      </w:r>
    </w:p>
    <w:p w14:paraId="528E1624" w14:textId="135F90D2" w:rsidR="001249AE" w:rsidRDefault="001249AE" w:rsidP="00E84C24">
      <w:pPr>
        <w:jc w:val="both"/>
      </w:pPr>
      <w:r>
        <w:t xml:space="preserve">where </w:t>
      </w:r>
      <m:oMath>
        <m:r>
          <w:rPr>
            <w:rFonts w:ascii="Cambria Math" w:hAnsi="Cambria Math"/>
          </w:rPr>
          <m:t>α</m:t>
        </m:r>
        <m:d>
          <m:dPr>
            <m:ctrlPr>
              <w:rPr>
                <w:rFonts w:ascii="Cambria Math" w:hAnsi="Cambria Math"/>
                <w:i/>
              </w:rPr>
            </m:ctrlPr>
          </m:dPr>
          <m:e>
            <m:r>
              <w:rPr>
                <w:rFonts w:ascii="Cambria Math" w:hAnsi="Cambria Math"/>
              </w:rPr>
              <m:t>τ</m:t>
            </m:r>
          </m:e>
        </m:d>
        <m:r>
          <w:rPr>
            <w:rFonts w:ascii="Cambria Math" w:hAnsi="Cambria Math"/>
          </w:rPr>
          <m:t>∈[0,1]</m:t>
        </m:r>
      </m:oMath>
      <w:r>
        <w:t xml:space="preserve"> is </w:t>
      </w:r>
      <w:r w:rsidRPr="001249AE">
        <w:t>a parameter dependent on the partial polarization ratio, satisfying</w:t>
      </w:r>
      <w:r>
        <w:t xml:space="preserve"> </w:t>
      </w:r>
      <m:oMath>
        <m:r>
          <w:rPr>
            <w:rFonts w:ascii="Cambria Math" w:hAnsi="Cambria Math"/>
          </w:rPr>
          <m:t>α</m:t>
        </m:r>
        <m:d>
          <m:dPr>
            <m:ctrlPr>
              <w:rPr>
                <w:rFonts w:ascii="Cambria Math" w:hAnsi="Cambria Math"/>
                <w:i/>
              </w:rPr>
            </m:ctrlPr>
          </m:dPr>
          <m:e>
            <m:r>
              <w:rPr>
                <w:rFonts w:ascii="Cambria Math" w:hAnsi="Cambria Math"/>
              </w:rPr>
              <m:t>τ</m:t>
            </m:r>
          </m:e>
        </m:d>
        <m:r>
          <w:rPr>
            <w:rFonts w:ascii="Cambria Math" w:hAnsi="Cambria Math"/>
          </w:rPr>
          <m:t>=0</m:t>
        </m:r>
      </m:oMath>
      <w:r>
        <w:t xml:space="preserve"> for </w:t>
      </w:r>
      <m:oMath>
        <m:r>
          <w:rPr>
            <w:rFonts w:ascii="Cambria Math" w:hAnsi="Cambria Math"/>
          </w:rPr>
          <m:t xml:space="preserve">τ=0 </m:t>
        </m:r>
      </m:oMath>
      <w:r>
        <w:t xml:space="preserve">and </w:t>
      </w:r>
      <m:oMath>
        <m:r>
          <w:rPr>
            <w:rFonts w:ascii="Cambria Math" w:hAnsi="Cambria Math"/>
          </w:rPr>
          <m:t>α</m:t>
        </m:r>
        <m:d>
          <m:dPr>
            <m:ctrlPr>
              <w:rPr>
                <w:rFonts w:ascii="Cambria Math" w:hAnsi="Cambria Math"/>
                <w:i/>
              </w:rPr>
            </m:ctrlPr>
          </m:dPr>
          <m:e>
            <m:r>
              <w:rPr>
                <w:rFonts w:ascii="Cambria Math" w:hAnsi="Cambria Math"/>
              </w:rPr>
              <m:t>τ</m:t>
            </m:r>
          </m:e>
        </m:d>
        <m:r>
          <w:rPr>
            <w:rFonts w:ascii="Cambria Math" w:hAnsi="Cambria Math"/>
          </w:rPr>
          <m:t>=1</m:t>
        </m:r>
      </m:oMath>
      <w:r>
        <w:t xml:space="preserve"> for </w:t>
      </w:r>
      <m:oMath>
        <m:r>
          <w:rPr>
            <w:rFonts w:ascii="Cambria Math" w:hAnsi="Cambria Math"/>
          </w:rPr>
          <m:t>τ=1</m:t>
        </m:r>
      </m:oMath>
      <w:r>
        <w:t xml:space="preserve">. </w:t>
      </w:r>
      <w:r w:rsidRPr="001249AE">
        <w:t>A straightforward but non-optimal choice is</w:t>
      </w:r>
      <w:r>
        <w:t xml:space="preserve"> </w:t>
      </w:r>
      <m:oMath>
        <m:r>
          <w:rPr>
            <w:rFonts w:ascii="Cambria Math" w:hAnsi="Cambria Math"/>
          </w:rPr>
          <m:t>α</m:t>
        </m:r>
        <m:d>
          <m:dPr>
            <m:ctrlPr>
              <w:rPr>
                <w:rFonts w:ascii="Cambria Math" w:hAnsi="Cambria Math"/>
                <w:i/>
              </w:rPr>
            </m:ctrlPr>
          </m:dPr>
          <m:e>
            <m:r>
              <w:rPr>
                <w:rFonts w:ascii="Cambria Math" w:hAnsi="Cambria Math"/>
              </w:rPr>
              <m:t>τ</m:t>
            </m:r>
          </m:e>
        </m:d>
        <m:r>
          <w:rPr>
            <w:rFonts w:ascii="Cambria Math" w:hAnsi="Cambria Math"/>
          </w:rPr>
          <m:t>=τ</m:t>
        </m:r>
      </m:oMath>
      <w:r>
        <w:t>.</w:t>
      </w:r>
      <w:r w:rsidR="00E84C24">
        <w:t xml:space="preserve"> </w:t>
      </w:r>
      <w:r w:rsidR="00E84C24" w:rsidRPr="00E84C24">
        <w:t xml:space="preserve">Given the demonstrated performance of the </w:t>
      </w:r>
      <m:oMath>
        <m:r>
          <w:rPr>
            <w:rFonts w:ascii="Cambria Math" w:hAnsi="Cambria Math"/>
          </w:rPr>
          <m:t>αβ</m:t>
        </m:r>
      </m:oMath>
      <w:r w:rsidR="00E84C24">
        <w:t xml:space="preserve">-expansion </w:t>
      </w:r>
      <w:r w:rsidR="00E84C24" w:rsidRPr="00E84C24">
        <w:t>method, it can be adopted to provide the payload-splitting instructions. When combined with the existing 5G NR sequence, this completes the frozen bit map construction for PPP codes. This ensures both compatibility with 5G NR and a clear path for standardization.</w:t>
      </w:r>
    </w:p>
    <w:p w14:paraId="4B894A3C" w14:textId="77777777" w:rsidR="001249AE" w:rsidRDefault="001249AE" w:rsidP="001249AE">
      <w:pPr>
        <w:jc w:val="both"/>
      </w:pPr>
    </w:p>
    <w:p w14:paraId="242A51FB" w14:textId="6DB35471" w:rsidR="001249AE" w:rsidRDefault="00970137" w:rsidP="001249AE">
      <w:pPr>
        <w:jc w:val="both"/>
      </w:pPr>
      <w:r>
        <w:t>Note that r</w:t>
      </w:r>
      <w:r w:rsidR="00DE0CA7" w:rsidRPr="00DE0CA7">
        <w:t>einforcement learning–based sequence construction methods, particularly those leveraging graph neural networks, have demonstrated strong capability in generating effective reliability sequences. Unlike traditional designs tailored mainly for AWGN channels, these approaches are adaptable to more realistic channel conditions and can be optimized for specific code rates—an especially important feature for control channel applications, where polar codes are typically deployed at low rates. Moreover, the same principles can be extended to PPP codes by replacing the standard polar generator matrix with the PPP graph and adapting the learning policy to account for two</w:t>
      </w:r>
      <w:r w:rsidR="00DE0CA7" w:rsidRPr="00DE0CA7">
        <w:noBreakHyphen/>
        <w:t xml:space="preserve">stage decoding. For instance, when CRC bits are distributed across segments, the policy can be designed to ensure that each segment retains </w:t>
      </w:r>
      <w:proofErr w:type="gramStart"/>
      <w:r w:rsidR="00DE0CA7" w:rsidRPr="00DE0CA7">
        <w:t>a sufficient number of</w:t>
      </w:r>
      <w:proofErr w:type="gramEnd"/>
      <w:r w:rsidR="00DE0CA7" w:rsidRPr="00DE0CA7">
        <w:t xml:space="preserve"> unfrozen positions, thereby preserving reliable CRC operation.</w:t>
      </w:r>
      <w:r w:rsidR="001249AE">
        <w:t xml:space="preserve">  </w:t>
      </w:r>
    </w:p>
    <w:p w14:paraId="7127A5F5" w14:textId="77777777" w:rsidR="001249AE" w:rsidRPr="001249AE" w:rsidRDefault="001249AE" w:rsidP="001249AE">
      <w:pPr>
        <w:jc w:val="both"/>
      </w:pPr>
    </w:p>
    <w:p w14:paraId="11FE3082" w14:textId="11D5227A" w:rsidR="001249AE" w:rsidRDefault="001249AE" w:rsidP="001249AE">
      <w:pPr>
        <w:jc w:val="both"/>
      </w:pPr>
      <w:r w:rsidRPr="001249AE">
        <w:fldChar w:fldCharType="begin"/>
      </w:r>
      <w:r w:rsidRPr="001249AE">
        <w:instrText xml:space="preserve"> REF _Ref209772599 \h  \* MERGEFORMAT </w:instrText>
      </w:r>
      <w:r w:rsidRPr="001249AE">
        <w:fldChar w:fldCharType="separate"/>
      </w:r>
      <w:r w:rsidR="001D4353" w:rsidRPr="001249AE">
        <w:t xml:space="preserve">Figure </w:t>
      </w:r>
      <w:r w:rsidR="001D4353" w:rsidRPr="001D4353">
        <w:rPr>
          <w:noProof/>
        </w:rPr>
        <w:t>4</w:t>
      </w:r>
      <w:r w:rsidRPr="001249AE">
        <w:fldChar w:fldCharType="end"/>
      </w:r>
      <w:r>
        <w:t xml:space="preserve"> </w:t>
      </w:r>
      <w:r w:rsidRPr="001249AE">
        <w:t xml:space="preserve">compares the performance of different PPP constructions for code length </w:t>
      </w:r>
      <m:oMath>
        <m:r>
          <w:rPr>
            <w:rFonts w:ascii="Cambria Math" w:hAnsi="Cambria Math"/>
          </w:rPr>
          <m:t>N=64</m:t>
        </m:r>
      </m:oMath>
      <w:r w:rsidRPr="001249AE">
        <w:t xml:space="preserve"> and payload size </w:t>
      </w:r>
      <m:oMath>
        <m:r>
          <w:rPr>
            <w:rFonts w:ascii="Cambria Math" w:hAnsi="Cambria Math"/>
          </w:rPr>
          <m:t>K=32</m:t>
        </m:r>
      </m:oMath>
      <w:r w:rsidRPr="001249AE">
        <w:t xml:space="preserve">. The first segment is protected with a 4-bit CRC, while the second segment uses an 8-bit CRC. As shown, all three construction methods, namely Bhattacharyya tracking, </w:t>
      </w:r>
      <m:oMath>
        <m:r>
          <w:rPr>
            <w:rFonts w:ascii="Cambria Math" w:hAnsi="Cambria Math"/>
          </w:rPr>
          <m:t>αβ</m:t>
        </m:r>
      </m:oMath>
      <w:r w:rsidRPr="001249AE">
        <w:t xml:space="preserve">-expansion, and GNN-based construction, achieve desirable performance. </w:t>
      </w:r>
      <w:proofErr w:type="gramStart"/>
      <w:r w:rsidRPr="001249AE">
        <w:t>In particular, PPP</w:t>
      </w:r>
      <w:proofErr w:type="gramEnd"/>
      <w:r w:rsidRPr="001249AE">
        <w:t xml:space="preserve"> codes significantly outperform full segmentation and nearly close the gap to the larger polar code. The 5G polar curves are obtained by simulating the polar codes constructed based on the 5G NR polar sequence</w:t>
      </w:r>
      <w:r>
        <w:t xml:space="preserve">. </w:t>
      </w:r>
    </w:p>
    <w:p w14:paraId="09842957" w14:textId="77777777" w:rsidR="001249AE" w:rsidRDefault="001249AE" w:rsidP="000827D7">
      <w:pPr>
        <w:jc w:val="both"/>
      </w:pPr>
    </w:p>
    <w:p w14:paraId="61AB467A" w14:textId="05A5F38A" w:rsidR="001249AE" w:rsidRDefault="00670546" w:rsidP="001249AE">
      <w:pPr>
        <w:jc w:val="both"/>
      </w:pPr>
      <w:r>
        <w:rPr>
          <w:noProof/>
        </w:rPr>
        <mc:AlternateContent>
          <mc:Choice Requires="wps">
            <w:drawing>
              <wp:anchor distT="0" distB="0" distL="114300" distR="114300" simplePos="0" relativeHeight="251672576" behindDoc="0" locked="0" layoutInCell="1" allowOverlap="1" wp14:anchorId="6FB5C433" wp14:editId="68B0F109">
                <wp:simplePos x="0" y="0"/>
                <wp:positionH relativeFrom="column">
                  <wp:posOffset>-635</wp:posOffset>
                </wp:positionH>
                <wp:positionV relativeFrom="paragraph">
                  <wp:posOffset>3929380</wp:posOffset>
                </wp:positionV>
                <wp:extent cx="6120765" cy="635"/>
                <wp:effectExtent l="0" t="0" r="635" b="12065"/>
                <wp:wrapTopAndBottom/>
                <wp:docPr id="59881339" name="Text Box 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67C50927" w14:textId="0A6DDAE8" w:rsidR="00670546" w:rsidRPr="00670546" w:rsidRDefault="00670546" w:rsidP="00670546">
                            <w:pPr>
                              <w:pStyle w:val="Caption"/>
                              <w:rPr>
                                <w:b w:val="0"/>
                                <w:bCs w:val="0"/>
                                <w:noProof/>
                              </w:rPr>
                            </w:pPr>
                            <w:r w:rsidRPr="00670546">
                              <w:rPr>
                                <w:b w:val="0"/>
                                <w:bCs w:val="0"/>
                              </w:rPr>
                              <w:t xml:space="preserve">Figure </w:t>
                            </w:r>
                            <w:r w:rsidRPr="00670546">
                              <w:rPr>
                                <w:b w:val="0"/>
                                <w:bCs w:val="0"/>
                              </w:rPr>
                              <w:fldChar w:fldCharType="begin"/>
                            </w:r>
                            <w:r w:rsidRPr="00670546">
                              <w:rPr>
                                <w:b w:val="0"/>
                                <w:bCs w:val="0"/>
                              </w:rPr>
                              <w:instrText xml:space="preserve"> SEQ Figure \* ARABIC </w:instrText>
                            </w:r>
                            <w:r w:rsidRPr="00670546">
                              <w:rPr>
                                <w:b w:val="0"/>
                                <w:bCs w:val="0"/>
                              </w:rPr>
                              <w:fldChar w:fldCharType="separate"/>
                            </w:r>
                            <w:r w:rsidR="00612C03">
                              <w:rPr>
                                <w:b w:val="0"/>
                                <w:bCs w:val="0"/>
                                <w:noProof/>
                              </w:rPr>
                              <w:t>5</w:t>
                            </w:r>
                            <w:r w:rsidRPr="00670546">
                              <w:rPr>
                                <w:b w:val="0"/>
                                <w:bCs w:val="0"/>
                              </w:rPr>
                              <w:fldChar w:fldCharType="end"/>
                            </w:r>
                            <w:r w:rsidRPr="00670546">
                              <w:rPr>
                                <w:b w:val="0"/>
                                <w:bCs w:val="0"/>
                              </w:rPr>
                              <w:t xml:space="preserve">. Performance of PPP codes for various values of </w:t>
                            </w:r>
                            <m:oMath>
                              <m:r>
                                <m:rPr>
                                  <m:sty m:val="bi"/>
                                </m:rPr>
                                <w:rPr>
                                  <w:rFonts w:ascii="Cambria Math" w:hAnsi="Cambria Math"/>
                                </w:rPr>
                                <m:t>τ</m:t>
                              </m:r>
                            </m:oMath>
                            <w:r w:rsidRPr="00670546">
                              <w:rPr>
                                <w:b w:val="0"/>
                                <w:bCs w:val="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FB5C433" id="_x0000_s1030" type="#_x0000_t202" style="position:absolute;left:0;text-align:left;margin-left:-.05pt;margin-top:309.4pt;width:481.95pt;height:.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" stroked="f">
                <v:textbox style="mso-fit-shape-to-text:t" inset="0,0,0,0">
                  <w:txbxContent>
                    <w:p w14:paraId="67C50927" w14:textId="0A6DDAE8" w:rsidR="00670546" w:rsidRPr="00670546" w:rsidRDefault="00670546" w:rsidP="00670546">
                      <w:pPr>
                        <w:pStyle w:val="Caption"/>
                        <w:rPr>
                          <w:b w:val="0"/>
                          <w:bCs w:val="0"/>
                          <w:noProof/>
                        </w:rPr>
                      </w:pPr>
                      <w:r w:rsidRPr="00670546">
                        <w:rPr>
                          <w:b w:val="0"/>
                          <w:bCs w:val="0"/>
                        </w:rPr>
                        <w:t xml:space="preserve">Figure </w:t>
                      </w:r>
                      <w:r w:rsidRPr="00670546">
                        <w:rPr>
                          <w:b w:val="0"/>
                          <w:bCs w:val="0"/>
                        </w:rPr>
                        <w:fldChar w:fldCharType="begin"/>
                      </w:r>
                      <w:r w:rsidRPr="00670546">
                        <w:rPr>
                          <w:b w:val="0"/>
                          <w:bCs w:val="0"/>
                        </w:rPr>
                        <w:instrText xml:space="preserve"> SEQ Figure \* ARABIC </w:instrText>
                      </w:r>
                      <w:r w:rsidRPr="00670546">
                        <w:rPr>
                          <w:b w:val="0"/>
                          <w:bCs w:val="0"/>
                        </w:rPr>
                        <w:fldChar w:fldCharType="separate"/>
                      </w:r>
                      <w:r w:rsidR="00612C03">
                        <w:rPr>
                          <w:b w:val="0"/>
                          <w:bCs w:val="0"/>
                          <w:noProof/>
                        </w:rPr>
                        <w:t>5</w:t>
                      </w:r>
                      <w:r w:rsidRPr="00670546">
                        <w:rPr>
                          <w:b w:val="0"/>
                          <w:bCs w:val="0"/>
                        </w:rPr>
                        <w:fldChar w:fldCharType="end"/>
                      </w:r>
                      <w:r w:rsidRPr="00670546">
                        <w:rPr>
                          <w:b w:val="0"/>
                          <w:bCs w:val="0"/>
                        </w:rPr>
                        <w:t xml:space="preserve">. Performance of PPP codes for various values of </w:t>
                      </w:r>
                      <m:oMath>
                        <m:r>
                          <m:rPr>
                            <m:sty m:val="bi"/>
                          </m:rPr>
                          <w:rPr>
                            <w:rFonts w:ascii="Cambria Math" w:hAnsi="Cambria Math"/>
                          </w:rPr>
                          <m:t>τ</m:t>
                        </m:r>
                      </m:oMath>
                      <w:r w:rsidRPr="00670546">
                        <w:rPr>
                          <w:b w:val="0"/>
                          <w:bCs w:val="0"/>
                        </w:rPr>
                        <w:t>.</w:t>
                      </w:r>
                    </w:p>
                  </w:txbxContent>
                </v:textbox>
                <w10:wrap type="topAndBottom"/>
              </v:shape>
            </w:pict>
          </mc:Fallback>
        </mc:AlternateContent>
      </w:r>
      <w:r>
        <w:rPr>
          <w:noProof/>
        </w:rPr>
        <w:drawing>
          <wp:anchor distT="0" distB="0" distL="114300" distR="114300" simplePos="0" relativeHeight="251670528" behindDoc="0" locked="0" layoutInCell="1" allowOverlap="1" wp14:anchorId="24B05E5D" wp14:editId="764482EF">
            <wp:simplePos x="0" y="0"/>
            <wp:positionH relativeFrom="margin">
              <wp:align>center</wp:align>
            </wp:positionH>
            <wp:positionV relativeFrom="paragraph">
              <wp:posOffset>0</wp:posOffset>
            </wp:positionV>
            <wp:extent cx="6120765" cy="3872230"/>
            <wp:effectExtent l="0" t="0" r="635" b="1270"/>
            <wp:wrapTopAndBottom/>
            <wp:docPr id="248118586" name="Picture 5" descr="A graph of a polariz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18586" name="Picture 5" descr="A graph of a polarized data&#10;&#10;AI-generated content may be incorrect."/>
                    <pic:cNvPicPr/>
                  </pic:nvPicPr>
                  <pic:blipFill>
                    <a:blip r:embed="rId12"/>
                    <a:stretch>
                      <a:fillRect/>
                    </a:stretch>
                  </pic:blipFill>
                  <pic:spPr>
                    <a:xfrm>
                      <a:off x="0" y="0"/>
                      <a:ext cx="6120765" cy="3872230"/>
                    </a:xfrm>
                    <a:prstGeom prst="rect">
                      <a:avLst/>
                    </a:prstGeom>
                  </pic:spPr>
                </pic:pic>
              </a:graphicData>
            </a:graphic>
            <wp14:sizeRelH relativeFrom="page">
              <wp14:pctWidth>0</wp14:pctWidth>
            </wp14:sizeRelH>
            <wp14:sizeRelV relativeFrom="page">
              <wp14:pctHeight>0</wp14:pctHeight>
            </wp14:sizeRelV>
          </wp:anchor>
        </w:drawing>
      </w:r>
    </w:p>
    <w:p w14:paraId="73734596" w14:textId="77777777" w:rsidR="001249AE" w:rsidRDefault="001249AE" w:rsidP="001249AE">
      <w:pPr>
        <w:jc w:val="both"/>
      </w:pPr>
    </w:p>
    <w:p w14:paraId="3867E4A8" w14:textId="1D56087B" w:rsidR="00670546" w:rsidRDefault="00670546" w:rsidP="001249AE">
      <w:pPr>
        <w:jc w:val="both"/>
      </w:pPr>
      <w:r>
        <w:rPr>
          <w:noProof/>
        </w:rPr>
        <w:lastRenderedPageBreak/>
        <mc:AlternateContent>
          <mc:Choice Requires="wps">
            <w:drawing>
              <wp:anchor distT="0" distB="0" distL="114300" distR="114300" simplePos="0" relativeHeight="251675648" behindDoc="0" locked="0" layoutInCell="1" allowOverlap="1" wp14:anchorId="08900DD6" wp14:editId="3E9C4761">
                <wp:simplePos x="0" y="0"/>
                <wp:positionH relativeFrom="column">
                  <wp:posOffset>-635</wp:posOffset>
                </wp:positionH>
                <wp:positionV relativeFrom="paragraph">
                  <wp:posOffset>3456940</wp:posOffset>
                </wp:positionV>
                <wp:extent cx="6120765" cy="635"/>
                <wp:effectExtent l="0" t="0" r="635" b="12065"/>
                <wp:wrapTopAndBottom/>
                <wp:docPr id="1575014475" name="Text Box 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5D1E1E02" w14:textId="6A4E773A" w:rsidR="00670546" w:rsidRPr="00670546" w:rsidRDefault="00670546" w:rsidP="00670546">
                            <w:pPr>
                              <w:pStyle w:val="Caption"/>
                              <w:rPr>
                                <w:b w:val="0"/>
                                <w:bCs w:val="0"/>
                                <w:noProof/>
                              </w:rPr>
                            </w:pPr>
                            <w:r w:rsidRPr="00670546">
                              <w:rPr>
                                <w:b w:val="0"/>
                                <w:bCs w:val="0"/>
                              </w:rPr>
                              <w:t xml:space="preserve">Figure </w:t>
                            </w:r>
                            <w:r w:rsidRPr="00670546">
                              <w:rPr>
                                <w:b w:val="0"/>
                                <w:bCs w:val="0"/>
                              </w:rPr>
                              <w:fldChar w:fldCharType="begin"/>
                            </w:r>
                            <w:r w:rsidRPr="00670546">
                              <w:rPr>
                                <w:b w:val="0"/>
                                <w:bCs w:val="0"/>
                              </w:rPr>
                              <w:instrText xml:space="preserve"> SEQ Figure \* ARABIC </w:instrText>
                            </w:r>
                            <w:r w:rsidRPr="00670546">
                              <w:rPr>
                                <w:b w:val="0"/>
                                <w:bCs w:val="0"/>
                              </w:rPr>
                              <w:fldChar w:fldCharType="separate"/>
                            </w:r>
                            <w:r w:rsidR="00612C03">
                              <w:rPr>
                                <w:b w:val="0"/>
                                <w:bCs w:val="0"/>
                                <w:noProof/>
                              </w:rPr>
                              <w:t>6</w:t>
                            </w:r>
                            <w:r w:rsidRPr="00670546">
                              <w:rPr>
                                <w:b w:val="0"/>
                                <w:bCs w:val="0"/>
                              </w:rPr>
                              <w:fldChar w:fldCharType="end"/>
                            </w:r>
                            <w:r w:rsidRPr="00670546">
                              <w:rPr>
                                <w:b w:val="0"/>
                                <w:bCs w:val="0"/>
                              </w:rPr>
                              <w:t>. PPP codes outperform repetition-based aggregation schemes used in 5G NR PDCCH.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900DD6" id="_x0000_s1031" type="#_x0000_t202" style="position:absolute;left:0;text-align:left;margin-left:-.05pt;margin-top:272.2pt;width:481.95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" stroked="f">
                <v:textbox style="mso-fit-shape-to-text:t" inset="0,0,0,0">
                  <w:txbxContent>
                    <w:p w14:paraId="5D1E1E02" w14:textId="6A4E773A" w:rsidR="00670546" w:rsidRPr="00670546" w:rsidRDefault="00670546" w:rsidP="00670546">
                      <w:pPr>
                        <w:pStyle w:val="Caption"/>
                        <w:rPr>
                          <w:b w:val="0"/>
                          <w:bCs w:val="0"/>
                          <w:noProof/>
                        </w:rPr>
                      </w:pPr>
                      <w:r w:rsidRPr="00670546">
                        <w:rPr>
                          <w:b w:val="0"/>
                          <w:bCs w:val="0"/>
                        </w:rPr>
                        <w:t xml:space="preserve">Figure </w:t>
                      </w:r>
                      <w:r w:rsidRPr="00670546">
                        <w:rPr>
                          <w:b w:val="0"/>
                          <w:bCs w:val="0"/>
                        </w:rPr>
                        <w:fldChar w:fldCharType="begin"/>
                      </w:r>
                      <w:r w:rsidRPr="00670546">
                        <w:rPr>
                          <w:b w:val="0"/>
                          <w:bCs w:val="0"/>
                        </w:rPr>
                        <w:instrText xml:space="preserve"> SEQ Figure \* ARABIC </w:instrText>
                      </w:r>
                      <w:r w:rsidRPr="00670546">
                        <w:rPr>
                          <w:b w:val="0"/>
                          <w:bCs w:val="0"/>
                        </w:rPr>
                        <w:fldChar w:fldCharType="separate"/>
                      </w:r>
                      <w:r w:rsidR="00612C03">
                        <w:rPr>
                          <w:b w:val="0"/>
                          <w:bCs w:val="0"/>
                          <w:noProof/>
                        </w:rPr>
                        <w:t>6</w:t>
                      </w:r>
                      <w:r w:rsidRPr="00670546">
                        <w:rPr>
                          <w:b w:val="0"/>
                          <w:bCs w:val="0"/>
                        </w:rPr>
                        <w:fldChar w:fldCharType="end"/>
                      </w:r>
                      <w:r w:rsidRPr="00670546">
                        <w:rPr>
                          <w:b w:val="0"/>
                          <w:bCs w:val="0"/>
                        </w:rPr>
                        <w:t>. PPP codes outperform repetition-based aggregation schemes used in 5G NR PDCCH.</w:t>
                      </w:r>
                    </w:p>
                  </w:txbxContent>
                </v:textbox>
                <w10:wrap type="topAndBottom"/>
              </v:shape>
            </w:pict>
          </mc:Fallback>
        </mc:AlternateContent>
      </w:r>
      <w:r>
        <w:rPr>
          <w:noProof/>
        </w:rPr>
        <w:drawing>
          <wp:anchor distT="0" distB="0" distL="114300" distR="114300" simplePos="0" relativeHeight="251673600" behindDoc="0" locked="0" layoutInCell="1" allowOverlap="1" wp14:anchorId="50D42A87" wp14:editId="5F67F766">
            <wp:simplePos x="0" y="0"/>
            <wp:positionH relativeFrom="margin">
              <wp:align>center</wp:align>
            </wp:positionH>
            <wp:positionV relativeFrom="paragraph">
              <wp:posOffset>0</wp:posOffset>
            </wp:positionV>
            <wp:extent cx="6120765" cy="3399790"/>
            <wp:effectExtent l="0" t="0" r="635" b="3810"/>
            <wp:wrapTopAndBottom/>
            <wp:docPr id="502683636" name="Picture 7"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683636" name="Picture 7" descr="A graph of a number of numbers and a line&#10;&#10;AI-generated content may be incorrect."/>
                    <pic:cNvPicPr/>
                  </pic:nvPicPr>
                  <pic:blipFill>
                    <a:blip r:embed="rId13"/>
                    <a:stretch>
                      <a:fillRect/>
                    </a:stretch>
                  </pic:blipFill>
                  <pic:spPr>
                    <a:xfrm>
                      <a:off x="0" y="0"/>
                      <a:ext cx="6120765" cy="3399790"/>
                    </a:xfrm>
                    <a:prstGeom prst="rect">
                      <a:avLst/>
                    </a:prstGeom>
                  </pic:spPr>
                </pic:pic>
              </a:graphicData>
            </a:graphic>
            <wp14:sizeRelH relativeFrom="page">
              <wp14:pctWidth>0</wp14:pctWidth>
            </wp14:sizeRelH>
            <wp14:sizeRelV relativeFrom="page">
              <wp14:pctHeight>0</wp14:pctHeight>
            </wp14:sizeRelV>
          </wp:anchor>
        </w:drawing>
      </w:r>
    </w:p>
    <w:p w14:paraId="6A43F17C" w14:textId="614AFFF5" w:rsidR="001249AE" w:rsidRDefault="008C3862" w:rsidP="008C3862">
      <w:r>
        <w:t>F</w:t>
      </w:r>
      <w:r w:rsidR="001249AE">
        <w:t>urther numerical evidence of the superior performance of PPP codes compared to legacy solutions</w:t>
      </w:r>
      <w:r w:rsidR="00DE0CA7">
        <w:t xml:space="preserve"> is depicted in</w:t>
      </w:r>
      <w:r w:rsidR="001249AE">
        <w:t xml:space="preserve"> Figure 5</w:t>
      </w:r>
      <w:r w:rsidR="00DE0CA7">
        <w:t>, which</w:t>
      </w:r>
      <w:r w:rsidR="001249AE">
        <w:t xml:space="preserve"> illustrates the smooth transition from fully segmented polar codewords, without any inter-segment coding, to a double-length polar code achieved through partial polarization. The simulation parameters are </w:t>
      </w:r>
      <m:oMath>
        <m:d>
          <m:dPr>
            <m:ctrlPr>
              <w:rPr>
                <w:rFonts w:ascii="Cambria Math" w:hAnsi="Cambria Math"/>
                <w:i/>
              </w:rPr>
            </m:ctrlPr>
          </m:dPr>
          <m:e>
            <m:r>
              <w:rPr>
                <w:rFonts w:ascii="Cambria Math" w:hAnsi="Cambria Math"/>
              </w:rPr>
              <m:t>N,K</m:t>
            </m:r>
          </m:e>
        </m:d>
        <m:r>
          <w:rPr>
            <w:rFonts w:ascii="Cambria Math" w:hAnsi="Cambria Math"/>
          </w:rPr>
          <m:t>=(1024, 160)</m:t>
        </m:r>
      </m:oMath>
      <w:r w:rsidR="001249AE">
        <w:t xml:space="preserve">, and a 24-bit CRC. As the partial polarization ratio </w:t>
      </w:r>
      <m:oMath>
        <m:r>
          <w:rPr>
            <w:rFonts w:ascii="Cambria Math" w:hAnsi="Cambria Math"/>
          </w:rPr>
          <m:t>τ</m:t>
        </m:r>
      </m:oMath>
      <w:r w:rsidR="001249AE">
        <w:t xml:space="preserve"> increases from 0 to 1, the BLER performance progressively converges to that of the longer polar code. At the same time, the effective code rate of the leading segment decreases. In this design example, we stop at the largest value of </w:t>
      </w:r>
      <m:oMath>
        <m:r>
          <w:rPr>
            <w:rFonts w:ascii="Cambria Math" w:hAnsi="Cambria Math"/>
          </w:rPr>
          <m:t>τ</m:t>
        </m:r>
      </m:oMath>
      <w:r w:rsidR="001249AE">
        <w:t xml:space="preserve"> that still accommodates the 16 RNTI bits in the leading segment, which corresponds to </w:t>
      </w:r>
      <m:oMath>
        <m:r>
          <w:rPr>
            <w:rFonts w:ascii="Cambria Math" w:hAnsi="Cambria Math"/>
          </w:rPr>
          <m:t>τ=7/8</m:t>
        </m:r>
      </m:oMath>
      <w:r w:rsidR="001249AE">
        <w:t>.</w:t>
      </w:r>
    </w:p>
    <w:p w14:paraId="4861D24D" w14:textId="77777777" w:rsidR="001249AE" w:rsidRDefault="001249AE" w:rsidP="001249AE">
      <w:pPr>
        <w:jc w:val="both"/>
      </w:pPr>
    </w:p>
    <w:p w14:paraId="4ECAFCA1" w14:textId="2AAC4127" w:rsidR="001249AE" w:rsidRDefault="001249AE" w:rsidP="001249AE">
      <w:pPr>
        <w:jc w:val="both"/>
      </w:pPr>
      <w:r w:rsidRPr="001249AE">
        <w:t xml:space="preserve">Next, recall that legacy aggregation methods in polar coding are typically based on repetition schemes. While repetition improves the effective SNR, it does not provide additional coding gain. In contrast, PPP codes recover much of the coding gain that is lost under segmentation, without requiring extended hardware. This advantage is particularly valuable in blind decoding, since decoding of the second segment is often unnecessary. </w:t>
      </w:r>
      <w:r>
        <w:t>Figure 6</w:t>
      </w:r>
      <w:r w:rsidRPr="001249AE">
        <w:t xml:space="preserve"> highlights this effect: under the same configuration as before, a PPP code outperforms legacy repetition-based aggregation schemes, such as those currently employed in the 5G NR PDCCH.</w:t>
      </w:r>
    </w:p>
    <w:p w14:paraId="1653DDB8" w14:textId="77777777" w:rsidR="000827D7" w:rsidRDefault="000827D7" w:rsidP="000827D7">
      <w:pPr>
        <w:jc w:val="both"/>
      </w:pPr>
    </w:p>
    <w:p w14:paraId="3C779DCB" w14:textId="5543BD9C" w:rsidR="00460978" w:rsidRDefault="0016139B" w:rsidP="00460978">
      <w:pPr>
        <w:rPr>
          <w:i/>
          <w:iCs/>
        </w:rPr>
      </w:pPr>
      <w:r w:rsidRPr="00B37E4E">
        <w:rPr>
          <w:b/>
          <w:bCs/>
          <w:i/>
          <w:iCs/>
          <w:u w:val="single"/>
        </w:rPr>
        <w:t xml:space="preserve">Proposal </w:t>
      </w:r>
      <w:r w:rsidR="00460978">
        <w:rPr>
          <w:b/>
          <w:bCs/>
          <w:i/>
          <w:iCs/>
          <w:u w:val="single"/>
        </w:rPr>
        <w:t>3</w:t>
      </w:r>
      <w:r w:rsidRPr="00B37E4E">
        <w:rPr>
          <w:b/>
          <w:bCs/>
          <w:i/>
          <w:iCs/>
        </w:rPr>
        <w:t>:</w:t>
      </w:r>
      <w:r w:rsidRPr="00B37E4E">
        <w:rPr>
          <w:i/>
          <w:iCs/>
        </w:rPr>
        <w:t xml:space="preserve"> </w:t>
      </w:r>
      <w:r w:rsidR="00460978" w:rsidRPr="00460978">
        <w:rPr>
          <w:i/>
          <w:iCs/>
        </w:rPr>
        <w:t>It is proposed to combine partially polarized inter-segment coding with legacy polar segments to form PPP codes, thereby ensuring backward compatibility with legacy solutions</w:t>
      </w:r>
      <w:r w:rsidR="00460978">
        <w:rPr>
          <w:i/>
          <w:iCs/>
        </w:rPr>
        <w:t>.</w:t>
      </w:r>
    </w:p>
    <w:p w14:paraId="5309355C" w14:textId="77777777" w:rsidR="00460978" w:rsidRDefault="00460978" w:rsidP="00460978">
      <w:pPr>
        <w:rPr>
          <w:i/>
          <w:iCs/>
        </w:rPr>
      </w:pPr>
    </w:p>
    <w:p w14:paraId="7C764DBD" w14:textId="77777777" w:rsidR="00D10C3F" w:rsidRDefault="00D10C3F" w:rsidP="00D10C3F">
      <w:pPr>
        <w:jc w:val="both"/>
      </w:pPr>
      <w:r w:rsidRPr="00535DD1">
        <w:t>Continuing the line of improvements on PDCCH polar coding with minimal hardware impact, we propose further simplification and efficiency gains in CRC precoding. The secondary reliability check provided by the CRC is especially beneficial in Successive Cancellation List (SCL) decoding, where the decoder preserves multiple candidate codewords during the process. At completion, the CRC serves to identify the valid codeword, filtering out invalid ones that may otherwise appear favorable based on path metric alone. This significantly enhances decoding robustness.</w:t>
      </w:r>
    </w:p>
    <w:p w14:paraId="6191505B" w14:textId="77777777" w:rsidR="00D10C3F" w:rsidRPr="00535DD1" w:rsidRDefault="00D10C3F" w:rsidP="00D10C3F">
      <w:pPr>
        <w:jc w:val="both"/>
      </w:pPr>
    </w:p>
    <w:p w14:paraId="1EC4A746" w14:textId="77777777" w:rsidR="00D10C3F" w:rsidRPr="00535DD1" w:rsidRDefault="00D10C3F" w:rsidP="00D10C3F">
      <w:pPr>
        <w:jc w:val="both"/>
      </w:pPr>
      <w:r w:rsidRPr="00535DD1">
        <w:t xml:space="preserve">Our analysis shows that for practical list sizes, extending the CRC length beyond a moderate threshold yields limited BLER benefit. </w:t>
      </w:r>
      <w:proofErr w:type="gramStart"/>
      <w:r w:rsidRPr="00535DD1">
        <w:t>In particular, once</w:t>
      </w:r>
      <w:proofErr w:type="gramEnd"/>
      <w:r w:rsidRPr="00535DD1">
        <w:t xml:space="preserve"> the CRC length exceeds six bits, the performance </w:t>
      </w:r>
      <w:r w:rsidRPr="00535DD1">
        <w:lastRenderedPageBreak/>
        <w:t>advantage of CRC-aided SCL (CA-SCL) decoding over basic SCL is maintained. In 5G PDCCH, up to 24 CRC bits are appended to the payload. While not all of these are required for decoding accuracy, the additional CRC bits play a critical role in controlling the false alarm rate (FAR), which is central to blind detection performance.</w:t>
      </w:r>
    </w:p>
    <w:p w14:paraId="7951F7B3" w14:textId="77777777" w:rsidR="00D10C3F" w:rsidRPr="00535DD1" w:rsidRDefault="00D10C3F" w:rsidP="00D10C3F">
      <w:pPr>
        <w:jc w:val="both"/>
      </w:pPr>
    </w:p>
    <w:p w14:paraId="589894F9" w14:textId="77777777" w:rsidR="00D10C3F" w:rsidRPr="00535DD1" w:rsidRDefault="00D10C3F" w:rsidP="00D10C3F">
      <w:pPr>
        <w:jc w:val="both"/>
      </w:pPr>
      <w:r w:rsidRPr="00535DD1">
        <w:t>Unlike classical channel decoding, PDCCH decoding is inherently linked to blind detection. The UE must attempt decoding on many candidates without prior knowledge of validity, often completing the full decoding process before detecting an invalid result. Techniques enabling early termination therefore directly improve power efficiency and latency.</w:t>
      </w:r>
    </w:p>
    <w:p w14:paraId="7097F38A" w14:textId="77777777" w:rsidR="00D10C3F" w:rsidRPr="00535DD1" w:rsidRDefault="00D10C3F" w:rsidP="00D10C3F">
      <w:pPr>
        <w:jc w:val="both"/>
      </w:pPr>
    </w:p>
    <w:p w14:paraId="1066E23B" w14:textId="77777777" w:rsidR="00D10C3F" w:rsidRDefault="00D10C3F" w:rsidP="00D10C3F">
      <w:pPr>
        <w:jc w:val="both"/>
      </w:pPr>
      <w:r w:rsidRPr="00535DD1">
        <w:t>Based on this motivation, we propose the following innovations in CRC precoding design:</w:t>
      </w:r>
    </w:p>
    <w:p w14:paraId="5601B6E4" w14:textId="77777777" w:rsidR="00D10C3F" w:rsidRPr="00535DD1" w:rsidRDefault="00D10C3F" w:rsidP="00D10C3F">
      <w:pPr>
        <w:jc w:val="both"/>
      </w:pPr>
    </w:p>
    <w:p w14:paraId="1AD23148" w14:textId="77777777" w:rsidR="00D10C3F" w:rsidRDefault="00D10C3F" w:rsidP="00D10C3F">
      <w:pPr>
        <w:pStyle w:val="ListParagraph"/>
        <w:numPr>
          <w:ilvl w:val="0"/>
          <w:numId w:val="123"/>
        </w:numPr>
        <w:jc w:val="both"/>
        <w:rPr>
          <w:rFonts w:ascii="Times New Roman" w:hAnsi="Times New Roman"/>
          <w:sz w:val="24"/>
          <w:szCs w:val="24"/>
        </w:rPr>
      </w:pPr>
      <w:r w:rsidRPr="00535DD1">
        <w:rPr>
          <w:rFonts w:ascii="Times New Roman" w:hAnsi="Times New Roman"/>
          <w:b/>
          <w:bCs/>
          <w:sz w:val="24"/>
          <w:szCs w:val="24"/>
        </w:rPr>
        <w:t>Relocation</w:t>
      </w:r>
      <w:r w:rsidRPr="00535DD1">
        <w:rPr>
          <w:rFonts w:ascii="Times New Roman" w:hAnsi="Times New Roman"/>
          <w:sz w:val="24"/>
          <w:szCs w:val="24"/>
        </w:rPr>
        <w:t xml:space="preserve"> of a subset of CRC bits to earlier positions in the uncoded vector.</w:t>
      </w:r>
    </w:p>
    <w:p w14:paraId="0CB95294" w14:textId="77777777" w:rsidR="00D10C3F" w:rsidRPr="00535DD1" w:rsidRDefault="00D10C3F" w:rsidP="00D10C3F">
      <w:pPr>
        <w:pStyle w:val="ListParagraph"/>
        <w:jc w:val="both"/>
        <w:rPr>
          <w:rFonts w:ascii="Times New Roman" w:hAnsi="Times New Roman"/>
          <w:sz w:val="24"/>
          <w:szCs w:val="24"/>
        </w:rPr>
      </w:pPr>
    </w:p>
    <w:p w14:paraId="3CA1ACD1" w14:textId="77777777" w:rsidR="00D10C3F" w:rsidRDefault="00D10C3F" w:rsidP="00D10C3F">
      <w:pPr>
        <w:pStyle w:val="ListParagraph"/>
        <w:numPr>
          <w:ilvl w:val="0"/>
          <w:numId w:val="123"/>
        </w:numPr>
        <w:jc w:val="both"/>
        <w:rPr>
          <w:rFonts w:ascii="Times New Roman" w:hAnsi="Times New Roman"/>
          <w:sz w:val="24"/>
          <w:szCs w:val="24"/>
        </w:rPr>
      </w:pPr>
      <w:r w:rsidRPr="00535DD1">
        <w:rPr>
          <w:rFonts w:ascii="Times New Roman" w:hAnsi="Times New Roman"/>
          <w:b/>
          <w:bCs/>
          <w:sz w:val="24"/>
          <w:szCs w:val="24"/>
        </w:rPr>
        <w:t>Segmentation</w:t>
      </w:r>
      <w:r w:rsidRPr="00535DD1">
        <w:rPr>
          <w:rFonts w:ascii="Times New Roman" w:hAnsi="Times New Roman"/>
          <w:sz w:val="24"/>
          <w:szCs w:val="24"/>
        </w:rPr>
        <w:t xml:space="preserve"> of these relocated CRC bits into compact units that act as intermediate checkpoints, allowing early rejection of invalid candidates.</w:t>
      </w:r>
    </w:p>
    <w:p w14:paraId="216F987B" w14:textId="77777777" w:rsidR="00D10C3F" w:rsidRPr="00535DD1" w:rsidRDefault="00D10C3F" w:rsidP="00D10C3F">
      <w:pPr>
        <w:jc w:val="both"/>
      </w:pPr>
    </w:p>
    <w:p w14:paraId="51397642" w14:textId="77777777" w:rsidR="00D10C3F" w:rsidRDefault="00D10C3F" w:rsidP="00D10C3F">
      <w:pPr>
        <w:pStyle w:val="ListParagraph"/>
        <w:numPr>
          <w:ilvl w:val="0"/>
          <w:numId w:val="123"/>
        </w:numPr>
        <w:jc w:val="both"/>
        <w:rPr>
          <w:rFonts w:ascii="Times New Roman" w:hAnsi="Times New Roman"/>
          <w:sz w:val="24"/>
          <w:szCs w:val="24"/>
        </w:rPr>
      </w:pPr>
      <w:r w:rsidRPr="00535DD1">
        <w:rPr>
          <w:rFonts w:ascii="Times New Roman" w:hAnsi="Times New Roman"/>
          <w:b/>
          <w:bCs/>
          <w:sz w:val="24"/>
          <w:szCs w:val="24"/>
        </w:rPr>
        <w:t>Strategic placement</w:t>
      </w:r>
      <w:r w:rsidRPr="00535DD1">
        <w:rPr>
          <w:rFonts w:ascii="Times New Roman" w:hAnsi="Times New Roman"/>
          <w:sz w:val="24"/>
          <w:szCs w:val="24"/>
        </w:rPr>
        <w:t xml:space="preserve"> of CRC checkpoints before computationally intensive decoding stages to maximize efficiency.</w:t>
      </w:r>
    </w:p>
    <w:p w14:paraId="247A9812" w14:textId="77777777" w:rsidR="00D10C3F" w:rsidRPr="00535DD1" w:rsidRDefault="00D10C3F" w:rsidP="00D10C3F">
      <w:pPr>
        <w:jc w:val="both"/>
      </w:pPr>
    </w:p>
    <w:p w14:paraId="0E28B911" w14:textId="77777777" w:rsidR="00D10C3F" w:rsidRPr="00535DD1" w:rsidRDefault="00D10C3F" w:rsidP="00D10C3F">
      <w:pPr>
        <w:pStyle w:val="ListParagraph"/>
        <w:numPr>
          <w:ilvl w:val="0"/>
          <w:numId w:val="123"/>
        </w:numPr>
        <w:jc w:val="both"/>
        <w:rPr>
          <w:rFonts w:ascii="Times New Roman" w:hAnsi="Times New Roman"/>
          <w:sz w:val="24"/>
          <w:szCs w:val="24"/>
        </w:rPr>
      </w:pPr>
      <w:r w:rsidRPr="00535DD1">
        <w:rPr>
          <w:rFonts w:ascii="Times New Roman" w:hAnsi="Times New Roman"/>
          <w:b/>
          <w:bCs/>
          <w:sz w:val="24"/>
          <w:szCs w:val="24"/>
        </w:rPr>
        <w:t>Removal of the bit-interleaver</w:t>
      </w:r>
      <w:r w:rsidRPr="00535DD1">
        <w:rPr>
          <w:rFonts w:ascii="Times New Roman" w:hAnsi="Times New Roman"/>
          <w:sz w:val="24"/>
          <w:szCs w:val="24"/>
        </w:rPr>
        <w:t>, ensuring CRC causality in a simpler and more hardware-friendly manner.</w:t>
      </w:r>
    </w:p>
    <w:p w14:paraId="4B508270" w14:textId="77777777" w:rsidR="00D10C3F" w:rsidRDefault="00D10C3F" w:rsidP="00D10C3F">
      <w:r>
        <w:rPr>
          <w:noProof/>
        </w:rPr>
        <mc:AlternateContent>
          <mc:Choice Requires="wps">
            <w:drawing>
              <wp:anchor distT="0" distB="0" distL="114300" distR="114300" simplePos="0" relativeHeight="251678720" behindDoc="0" locked="0" layoutInCell="1" allowOverlap="1" wp14:anchorId="59458B39" wp14:editId="5BFB01D1">
                <wp:simplePos x="0" y="0"/>
                <wp:positionH relativeFrom="column">
                  <wp:posOffset>799554</wp:posOffset>
                </wp:positionH>
                <wp:positionV relativeFrom="paragraph">
                  <wp:posOffset>1842770</wp:posOffset>
                </wp:positionV>
                <wp:extent cx="4339590" cy="635"/>
                <wp:effectExtent l="0" t="0" r="3810" b="0"/>
                <wp:wrapTopAndBottom/>
                <wp:docPr id="478381654" name="Text Box 1"/>
                <wp:cNvGraphicFramePr/>
                <a:graphic xmlns:a="http://schemas.openxmlformats.org/drawingml/2006/main">
                  <a:graphicData uri="http://schemas.microsoft.com/office/word/2010/wordprocessingShape">
                    <wps:wsp>
                      <wps:cNvSpPr txBox="1"/>
                      <wps:spPr>
                        <a:xfrm>
                          <a:off x="0" y="0"/>
                          <a:ext cx="4339590" cy="635"/>
                        </a:xfrm>
                        <a:prstGeom prst="rect">
                          <a:avLst/>
                        </a:prstGeom>
                        <a:solidFill>
                          <a:prstClr val="white"/>
                        </a:solidFill>
                        <a:ln>
                          <a:noFill/>
                        </a:ln>
                      </wps:spPr>
                      <wps:txbx>
                        <w:txbxContent>
                          <w:p w14:paraId="04689F3C" w14:textId="74D249BD" w:rsidR="00D10C3F" w:rsidRPr="00535DD1" w:rsidRDefault="00D10C3F" w:rsidP="00D10C3F">
                            <w:pPr>
                              <w:pStyle w:val="Caption"/>
                              <w:rPr>
                                <w:b w:val="0"/>
                                <w:bCs w:val="0"/>
                                <w:noProof/>
                                <w:sz w:val="20"/>
                                <w:szCs w:val="20"/>
                              </w:rPr>
                            </w:pPr>
                            <w:bookmarkStart w:id="3" w:name="_Ref210292920"/>
                            <w:r w:rsidRPr="00535DD1">
                              <w:rPr>
                                <w:b w:val="0"/>
                                <w:bCs w:val="0"/>
                              </w:rPr>
                              <w:t xml:space="preserve">Figure </w:t>
                            </w:r>
                            <w:r w:rsidRPr="00535DD1">
                              <w:rPr>
                                <w:b w:val="0"/>
                                <w:bCs w:val="0"/>
                              </w:rPr>
                              <w:fldChar w:fldCharType="begin"/>
                            </w:r>
                            <w:r w:rsidRPr="00535DD1">
                              <w:rPr>
                                <w:b w:val="0"/>
                                <w:bCs w:val="0"/>
                              </w:rPr>
                              <w:instrText xml:space="preserve"> SEQ Figure \* ARABIC </w:instrText>
                            </w:r>
                            <w:r w:rsidRPr="00535DD1">
                              <w:rPr>
                                <w:b w:val="0"/>
                                <w:bCs w:val="0"/>
                              </w:rPr>
                              <w:fldChar w:fldCharType="separate"/>
                            </w:r>
                            <w:r w:rsidR="00612C03">
                              <w:rPr>
                                <w:b w:val="0"/>
                                <w:bCs w:val="0"/>
                                <w:noProof/>
                              </w:rPr>
                              <w:t>7</w:t>
                            </w:r>
                            <w:r w:rsidRPr="00535DD1">
                              <w:rPr>
                                <w:b w:val="0"/>
                                <w:bCs w:val="0"/>
                              </w:rPr>
                              <w:fldChar w:fldCharType="end"/>
                            </w:r>
                            <w:bookmarkEnd w:id="3"/>
                            <w:r w:rsidRPr="00535DD1">
                              <w:rPr>
                                <w:b w:val="0"/>
                                <w:bCs w:val="0"/>
                              </w:rPr>
                              <w:t>. Illustration of CRC precoding schemes. Top: distributed CRC precoding. Bottom: proposed segmented CRC precoding for 6G, enabling early termination and improved decoding efficiency.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458B39" id="_x0000_s1032" type="#_x0000_t202" style="position:absolute;margin-left:62.95pt;margin-top:145.1pt;width:341.7pt;height:.0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" stroked="f">
                <v:textbox style="mso-fit-shape-to-text:t" inset="0,0,0,0">
                  <w:txbxContent>
                    <w:p w14:paraId="04689F3C" w14:textId="74D249BD" w:rsidR="00D10C3F" w:rsidRPr="00535DD1" w:rsidRDefault="00D10C3F" w:rsidP="00D10C3F">
                      <w:pPr>
                        <w:pStyle w:val="Caption"/>
                        <w:rPr>
                          <w:b w:val="0"/>
                          <w:bCs w:val="0"/>
                          <w:noProof/>
                          <w:sz w:val="20"/>
                          <w:szCs w:val="20"/>
                        </w:rPr>
                      </w:pPr>
                      <w:bookmarkStart w:id="7" w:name="_Ref210292920"/>
                      <w:r w:rsidRPr="00535DD1">
                        <w:rPr>
                          <w:b w:val="0"/>
                          <w:bCs w:val="0"/>
                        </w:rPr>
                        <w:t xml:space="preserve">Figure </w:t>
                      </w:r>
                      <w:r w:rsidRPr="00535DD1">
                        <w:rPr>
                          <w:b w:val="0"/>
                          <w:bCs w:val="0"/>
                        </w:rPr>
                        <w:fldChar w:fldCharType="begin"/>
                      </w:r>
                      <w:r w:rsidRPr="00535DD1">
                        <w:rPr>
                          <w:b w:val="0"/>
                          <w:bCs w:val="0"/>
                        </w:rPr>
                        <w:instrText xml:space="preserve"> SEQ Figure \* ARABIC </w:instrText>
                      </w:r>
                      <w:r w:rsidRPr="00535DD1">
                        <w:rPr>
                          <w:b w:val="0"/>
                          <w:bCs w:val="0"/>
                        </w:rPr>
                        <w:fldChar w:fldCharType="separate"/>
                      </w:r>
                      <w:r w:rsidR="00612C03">
                        <w:rPr>
                          <w:b w:val="0"/>
                          <w:bCs w:val="0"/>
                          <w:noProof/>
                        </w:rPr>
                        <w:t>7</w:t>
                      </w:r>
                      <w:r w:rsidRPr="00535DD1">
                        <w:rPr>
                          <w:b w:val="0"/>
                          <w:bCs w:val="0"/>
                        </w:rPr>
                        <w:fldChar w:fldCharType="end"/>
                      </w:r>
                      <w:bookmarkEnd w:id="7"/>
                      <w:r w:rsidRPr="00535DD1">
                        <w:rPr>
                          <w:b w:val="0"/>
                          <w:bCs w:val="0"/>
                        </w:rPr>
                        <w:t>. Illustration of CRC precoding schemes. Top: distributed CRC precoding. Bottom: proposed segmented CRC precoding for 6G, enabling early termination and improved decoding efficiency.</w:t>
                      </w:r>
                    </w:p>
                  </w:txbxContent>
                </v:textbox>
                <w10:wrap type="topAndBottom"/>
              </v:shape>
            </w:pict>
          </mc:Fallback>
        </mc:AlternateContent>
      </w:r>
      <w:r w:rsidRPr="003372D1">
        <w:rPr>
          <w:noProof/>
          <w:sz w:val="20"/>
          <w:szCs w:val="20"/>
        </w:rPr>
        <w:drawing>
          <wp:anchor distT="0" distB="0" distL="114300" distR="114300" simplePos="0" relativeHeight="251677696" behindDoc="0" locked="0" layoutInCell="1" allowOverlap="1" wp14:anchorId="47818F49" wp14:editId="5062AD9F">
            <wp:simplePos x="0" y="0"/>
            <wp:positionH relativeFrom="margin">
              <wp:align>center</wp:align>
            </wp:positionH>
            <wp:positionV relativeFrom="paragraph">
              <wp:posOffset>635</wp:posOffset>
            </wp:positionV>
            <wp:extent cx="5440680" cy="1779270"/>
            <wp:effectExtent l="0" t="0" r="0" b="0"/>
            <wp:wrapTopAndBottom/>
            <wp:docPr id="568408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408478" name=""/>
                    <pic:cNvPicPr/>
                  </pic:nvPicPr>
                  <pic:blipFill rotWithShape="1">
                    <a:blip r:embed="rId14"/>
                    <a:srcRect b="41862"/>
                    <a:stretch>
                      <a:fillRect/>
                    </a:stretch>
                  </pic:blipFill>
                  <pic:spPr bwMode="auto">
                    <a:xfrm>
                      <a:off x="0" y="0"/>
                      <a:ext cx="5440680" cy="17792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A8E48B" w14:textId="0EC389B6" w:rsidR="00D10C3F" w:rsidRPr="00535DD1" w:rsidRDefault="00D10C3F" w:rsidP="00D10C3F">
      <w:pPr>
        <w:jc w:val="both"/>
      </w:pPr>
      <w:r w:rsidRPr="00535DD1">
        <w:fldChar w:fldCharType="begin"/>
      </w:r>
      <w:r w:rsidRPr="00535DD1">
        <w:instrText xml:space="preserve"> REF _Ref210292920 \h  \* MERGEFORMAT </w:instrText>
      </w:r>
      <w:r w:rsidRPr="00535DD1">
        <w:fldChar w:fldCharType="separate"/>
      </w:r>
      <w:r w:rsidR="001D4353" w:rsidRPr="00535DD1">
        <w:t xml:space="preserve">Figure </w:t>
      </w:r>
      <w:r w:rsidR="001D4353" w:rsidRPr="001D4353">
        <w:rPr>
          <w:noProof/>
        </w:rPr>
        <w:t>7</w:t>
      </w:r>
      <w:r w:rsidRPr="00535DD1">
        <w:fldChar w:fldCharType="end"/>
      </w:r>
      <w:r w:rsidRPr="00535DD1">
        <w:t xml:space="preserve"> illustrates the difference between the proposed segmented CRC precoding and the distributed CRC precoding used in 5G NR. In the distributed scheme, individual CRC bits contribute very little to early termination, as a single bit is unlikely to reject </w:t>
      </w:r>
      <w:r>
        <w:t>all list candidates</w:t>
      </w:r>
      <w:r w:rsidRPr="00535DD1">
        <w:t xml:space="preserve"> with sufficient reliability. In practice, most termination opportunities arise only after evaluating all three distributed bits together at the third position. This is both probabilistically weak and occurs too late in the decoding process to provide meaningful complexity savings.</w:t>
      </w:r>
    </w:p>
    <w:p w14:paraId="6C548AE0" w14:textId="77777777" w:rsidR="00D10C3F" w:rsidRDefault="00D10C3F" w:rsidP="00D10C3F"/>
    <w:p w14:paraId="0260A02D" w14:textId="77777777" w:rsidR="00D10C3F" w:rsidRPr="00535DD1" w:rsidRDefault="00D10C3F" w:rsidP="00D10C3F">
      <w:pPr>
        <w:jc w:val="both"/>
      </w:pPr>
      <w:r w:rsidRPr="00535DD1">
        <w:t>Furthermore, the design of distributed CRC bits lacks flexibility, as their positions are uniquely determined by the CRC polynomial and the causality constraints of the computation, limiting their usefulness for early termination. We propose a new scheme that removes the bit-interleaver and introduces greater flexibility in the placement of non-RNTI CRC bits, thereby enhancing the potential for early termination.</w:t>
      </w:r>
    </w:p>
    <w:p w14:paraId="4FED87EF" w14:textId="77777777" w:rsidR="00D10C3F" w:rsidRDefault="00D10C3F" w:rsidP="00D10C3F"/>
    <w:p w14:paraId="6684AE65" w14:textId="77777777" w:rsidR="00D10C3F" w:rsidRPr="00535DD1" w:rsidRDefault="00D10C3F" w:rsidP="00D10C3F">
      <w:pPr>
        <w:jc w:val="both"/>
      </w:pPr>
      <w:r w:rsidRPr="00535DD1">
        <w:lastRenderedPageBreak/>
        <w:t>The segmented CRC scheme does not require the introduction of a new polynomial. Instead, it can reuse the existing 24-bit polynomial specified in 5G NR, which has been rigorously studied and is known to provide strong minimum distance properties.</w:t>
      </w:r>
    </w:p>
    <w:p w14:paraId="0B234FFB" w14:textId="77777777" w:rsidR="00D10C3F" w:rsidRDefault="00D10C3F" w:rsidP="00D10C3F"/>
    <w:p w14:paraId="64C00A40" w14:textId="77777777" w:rsidR="00D10C3F" w:rsidRPr="00535DD1" w:rsidRDefault="00D10C3F" w:rsidP="00D10C3F">
      <w:pPr>
        <w:jc w:val="both"/>
      </w:pPr>
      <w:r w:rsidRPr="00535DD1">
        <w:t>To compute a segmented CRC using the existing 24-bit polynomial, the following procedure can be applied. Let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oMath>
      <w:r w:rsidRPr="00535DD1">
        <w:t xml:space="preserve"> denote the DCI payload of size </w:t>
      </w:r>
      <m:oMath>
        <m:r>
          <w:rPr>
            <w:rFonts w:ascii="Cambria Math" w:hAnsi="Cambria Math"/>
          </w:rPr>
          <m:t>k</m:t>
        </m:r>
      </m:oMath>
      <w:r w:rsidRPr="00535DD1">
        <w:t xml:space="preserve">. Suppose that the segmented CRC is to be inserted into the payload after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535DD1">
        <w:t xml:space="preserve"> payload bits. While cumulatively computing the 24-bit CRC over the payload, a snapshot is taken at index</w:t>
      </w:r>
      <w: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535DD1">
        <w:t xml:space="preserve">. Let the intermediate CRC state at this snapshot be denoted as </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24</m:t>
            </m:r>
          </m:sub>
        </m:sSub>
      </m:oMath>
      <w:r>
        <w:t>.</w:t>
      </w:r>
    </w:p>
    <w:p w14:paraId="365630B0" w14:textId="77777777" w:rsidR="00D10C3F" w:rsidRDefault="00D10C3F" w:rsidP="00D10C3F">
      <w:pPr>
        <w:jc w:val="both"/>
      </w:pPr>
    </w:p>
    <w:p w14:paraId="239697F2" w14:textId="77777777" w:rsidR="00D10C3F" w:rsidRDefault="00D10C3F" w:rsidP="00D10C3F">
      <w:pPr>
        <w:jc w:val="both"/>
      </w:pPr>
      <w:r w:rsidRPr="00535DD1">
        <w:t xml:space="preserve">The CRC computation is then continued over the full DCI payload, yielding the final CRC sequence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24</m:t>
            </m:r>
          </m:sub>
        </m:sSub>
      </m:oMath>
      <w:r w:rsidRPr="00535DD1">
        <w:t>​. Now, let the CRC segment size be denoted by</w:t>
      </w:r>
      <w:r>
        <w:t xml:space="preserve"> </w:t>
      </w:r>
      <m:oMath>
        <m:r>
          <w:rPr>
            <w:rFonts w:ascii="Cambria Math" w:hAnsi="Cambria Math"/>
          </w:rPr>
          <m:t>τ</m:t>
        </m:r>
      </m:oMath>
      <w:r w:rsidRPr="00535DD1">
        <w:t>. The precoded vector with the segmented CRC is constructed as follows:</w:t>
      </w:r>
    </w:p>
    <w:p w14:paraId="634FE7BE" w14:textId="77777777" w:rsidR="00D10C3F" w:rsidRPr="00535DD1" w:rsidRDefault="00D10C3F" w:rsidP="00D10C3F">
      <w:pPr>
        <w:jc w:val="both"/>
      </w:pPr>
    </w:p>
    <w:p w14:paraId="0B7A5325" w14:textId="77777777" w:rsidR="00D10C3F" w:rsidRDefault="00000000" w:rsidP="00D10C3F">
      <w:pPr>
        <w:jc w:val="center"/>
      </w:pP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τ</m:t>
            </m:r>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τ+1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τ+2</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24</m:t>
            </m:r>
          </m:sub>
        </m:sSub>
      </m:oMath>
      <w:r w:rsidR="00D10C3F">
        <w:t>.</w:t>
      </w:r>
    </w:p>
    <w:p w14:paraId="6ED4743A" w14:textId="77777777" w:rsidR="00D10C3F" w:rsidRPr="00535DD1" w:rsidRDefault="00D10C3F" w:rsidP="00D10C3F">
      <w:pPr>
        <w:jc w:val="both"/>
      </w:pPr>
    </w:p>
    <w:p w14:paraId="677BC157" w14:textId="77777777" w:rsidR="00D10C3F" w:rsidRDefault="00D10C3F" w:rsidP="00D10C3F">
      <w:pPr>
        <w:jc w:val="both"/>
      </w:pPr>
      <w:r w:rsidRPr="00535DD1">
        <w:t xml:space="preserve">This structure introduces an early CRC segment </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τ</m:t>
            </m:r>
          </m:sub>
        </m:sSub>
      </m:oMath>
      <w:r w:rsidRPr="00535DD1">
        <w:t xml:space="preserve"> within the payload while retaining the remaining CRC </w:t>
      </w:r>
      <w:r>
        <w:t xml:space="preserve">bits </w:t>
      </w:r>
      <m:oMath>
        <m:sSub>
          <m:sSubPr>
            <m:ctrlPr>
              <w:rPr>
                <w:rFonts w:ascii="Cambria Math" w:hAnsi="Cambria Math"/>
                <w:i/>
              </w:rPr>
            </m:ctrlPr>
          </m:sSubPr>
          <m:e>
            <m:r>
              <w:rPr>
                <w:rFonts w:ascii="Cambria Math" w:hAnsi="Cambria Math"/>
              </w:rPr>
              <m:t>c</m:t>
            </m:r>
          </m:e>
          <m:sub>
            <m:r>
              <w:rPr>
                <w:rFonts w:ascii="Cambria Math" w:hAnsi="Cambria Math"/>
              </w:rPr>
              <m:t>τ+1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τ+2</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24</m:t>
            </m:r>
          </m:sub>
        </m:sSub>
      </m:oMath>
      <w:r>
        <w:t xml:space="preserve"> </w:t>
      </w:r>
      <w:r w:rsidRPr="00535DD1">
        <w:t>at the end, thereby enabling early termination without requiring a new polynomial.</w:t>
      </w:r>
    </w:p>
    <w:p w14:paraId="11B51295" w14:textId="77777777" w:rsidR="00D10C3F" w:rsidRDefault="00D10C3F" w:rsidP="00D10C3F"/>
    <w:p w14:paraId="6A9687C9" w14:textId="77777777" w:rsidR="00D10C3F" w:rsidRDefault="00D10C3F" w:rsidP="00D10C3F">
      <w:pPr>
        <w:jc w:val="both"/>
      </w:pPr>
      <w:r>
        <w:t xml:space="preserve">The proposed scheme offers high flexibility, as both the length and the placement of the CRC segment can be freely selected. The design of these parameters should target improvements in CRC-assisted early termination while remaining compliant with the false alarm rate (FAR) requirements defined in the standards. Among the FAR categories, only the </w:t>
      </w:r>
      <w:r>
        <w:rPr>
          <w:rStyle w:val="Strong"/>
        </w:rPr>
        <w:t>Undetected Error Rate (UER)</w:t>
      </w:r>
      <w:r>
        <w:t xml:space="preserve"> is sensitive to this design. UER arises when the UE attempts to decode an intended DCI, makes a decoding error, and the error passes undetected at the CRC checkpoint. To satisfy UER requirements, </w:t>
      </w:r>
      <w:proofErr w:type="gramStart"/>
      <w:r>
        <w:t>the majority of</w:t>
      </w:r>
      <w:proofErr w:type="gramEnd"/>
      <w:r>
        <w:t xml:space="preserve"> CRC bits must remain at the end of the decoding process. Our initial investigations suggest that 19–20 CRC bits should be placed at the end, with the remaining 4–5 bits forming the segmented CRC. Furthermore, the segment should not be positioned too early in the payload, again to preserve FAR performance. Specifically, our results indicate that compliance with 5G NR FAR requirements generally require</w:t>
      </w:r>
      <w:r>
        <w:rPr>
          <w:rStyle w:val="katex-mathml"/>
        </w:rPr>
        <w:t xml:space="preserve"> </w:t>
      </w:r>
      <m:oMath>
        <m:r>
          <w:rPr>
            <w:rStyle w:val="katex-mathml"/>
            <w:rFonts w:ascii="Cambria Math" w:hAnsi="Cambria Math"/>
          </w:rPr>
          <m:t>τ≥30</m:t>
        </m:r>
      </m:oMath>
      <w:r>
        <w:t>.</w:t>
      </w:r>
    </w:p>
    <w:p w14:paraId="2BE429EC" w14:textId="77777777" w:rsidR="00D10C3F" w:rsidRDefault="00D10C3F" w:rsidP="00D10C3F"/>
    <w:p w14:paraId="6B291EE5" w14:textId="77777777" w:rsidR="00D10C3F" w:rsidRDefault="00D10C3F" w:rsidP="00D10C3F">
      <w:pPr>
        <w:jc w:val="both"/>
      </w:pPr>
      <w:r w:rsidRPr="00535DD1">
        <w:t xml:space="preserve">In an example implementation of the proposed scheme, 5 CRC bits are grouped into a precoding segment. Under this configuration, an SCL decoder with a list size of </w:t>
      </w:r>
      <m:oMath>
        <m:r>
          <w:rPr>
            <w:rFonts w:ascii="Cambria Math" w:hAnsi="Cambria Math"/>
          </w:rPr>
          <m:t>L=8</m:t>
        </m:r>
      </m:oMath>
      <w:r>
        <w:t xml:space="preserve"> </w:t>
      </w:r>
      <w:r w:rsidRPr="00535DD1">
        <w:t>benefits from a significantly stronger validation checkpoint during the decoding process. For an invalid PDCCH candidate, the probability that any given list candidate fails a 5-bit CRC check is</w:t>
      </w:r>
      <w:r>
        <w:t xml:space="preserve"> </w:t>
      </w:r>
      <m:oMath>
        <m:f>
          <m:fPr>
            <m:ctrlPr>
              <w:rPr>
                <w:rFonts w:ascii="Cambria Math" w:hAnsi="Cambria Math"/>
                <w:i/>
              </w:rPr>
            </m:ctrlPr>
          </m:fPr>
          <m:num>
            <m:r>
              <w:rPr>
                <w:rFonts w:ascii="Cambria Math" w:hAnsi="Cambria Math"/>
              </w:rPr>
              <m:t>31</m:t>
            </m:r>
          </m:num>
          <m:den>
            <m:r>
              <w:rPr>
                <w:rFonts w:ascii="Cambria Math" w:hAnsi="Cambria Math"/>
              </w:rPr>
              <m:t>32</m:t>
            </m:r>
          </m:den>
        </m:f>
      </m:oMath>
      <w:r w:rsidRPr="00535DD1">
        <w:t>. Consequently, the probability that all list candidates fail at such a checkpoint (i.e., complete early termination) is approximately:</w:t>
      </w:r>
    </w:p>
    <w:p w14:paraId="23932111" w14:textId="77777777" w:rsidR="00D10C3F" w:rsidRPr="00535DD1" w:rsidRDefault="00D10C3F" w:rsidP="00D10C3F">
      <w:pPr>
        <w:jc w:val="both"/>
      </w:pPr>
    </w:p>
    <w:p w14:paraId="5E6855FA" w14:textId="77777777" w:rsidR="00D10C3F" w:rsidRDefault="00000000" w:rsidP="00D10C3F">
      <w:pPr>
        <w:jc w:val="center"/>
      </w:pPr>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31</m:t>
                    </m:r>
                  </m:num>
                  <m:den>
                    <m:r>
                      <w:rPr>
                        <w:rFonts w:ascii="Cambria Math" w:hAnsi="Cambria Math"/>
                      </w:rPr>
                      <m:t>32</m:t>
                    </m:r>
                  </m:den>
                </m:f>
              </m:e>
            </m:d>
          </m:e>
          <m:sup>
            <m:r>
              <w:rPr>
                <w:rFonts w:ascii="Cambria Math" w:hAnsi="Cambria Math"/>
              </w:rPr>
              <m:t>8</m:t>
            </m:r>
          </m:sup>
        </m:sSup>
        <m:r>
          <w:rPr>
            <w:rFonts w:ascii="Cambria Math" w:hAnsi="Cambria Math"/>
          </w:rPr>
          <m:t>≈0.775</m:t>
        </m:r>
      </m:oMath>
      <w:r w:rsidR="00D10C3F">
        <w:t>.</w:t>
      </w:r>
    </w:p>
    <w:p w14:paraId="63B738A0" w14:textId="77777777" w:rsidR="00D10C3F" w:rsidRPr="00535DD1" w:rsidRDefault="00D10C3F" w:rsidP="00D10C3F">
      <w:pPr>
        <w:jc w:val="both"/>
      </w:pPr>
      <w:r w:rsidRPr="00535DD1">
        <w:t xml:space="preserve"> </w:t>
      </w:r>
    </w:p>
    <w:p w14:paraId="0704460B" w14:textId="77777777" w:rsidR="00D10C3F" w:rsidRPr="00535DD1" w:rsidRDefault="00D10C3F" w:rsidP="00D10C3F">
      <w:pPr>
        <w:jc w:val="both"/>
      </w:pPr>
      <w:r w:rsidRPr="00535DD1">
        <w:t>This demonstrates that a relatively small CRC segment can provide a high likelihood of early termination for invalid candidates, thereby reducing decoder complexity and power consumption while maintaining compliance with FAR requirements.</w:t>
      </w:r>
    </w:p>
    <w:p w14:paraId="49FFC766" w14:textId="77777777" w:rsidR="00D10C3F" w:rsidRDefault="00D10C3F" w:rsidP="00D10C3F"/>
    <w:p w14:paraId="74915EC1" w14:textId="77777777" w:rsidR="00D10C3F" w:rsidRDefault="00D10C3F" w:rsidP="00D10C3F">
      <w:pPr>
        <w:keepNext/>
      </w:pPr>
      <w:r>
        <w:rPr>
          <w:noProof/>
        </w:rPr>
        <w:lastRenderedPageBreak/>
        <w:drawing>
          <wp:anchor distT="0" distB="0" distL="114300" distR="114300" simplePos="0" relativeHeight="251679744" behindDoc="0" locked="0" layoutInCell="1" allowOverlap="1" wp14:anchorId="74AB9F40" wp14:editId="77094911">
            <wp:simplePos x="0" y="0"/>
            <wp:positionH relativeFrom="margin">
              <wp:align>center</wp:align>
            </wp:positionH>
            <wp:positionV relativeFrom="paragraph">
              <wp:posOffset>0</wp:posOffset>
            </wp:positionV>
            <wp:extent cx="6120765" cy="3442970"/>
            <wp:effectExtent l="0" t="0" r="635" b="0"/>
            <wp:wrapTopAndBottom/>
            <wp:docPr id="23531108" name="Picture 8"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1108" name="Picture 8" descr="A group of graphs with different colored lines&#10;&#10;AI-generated content may be incorrect."/>
                    <pic:cNvPicPr/>
                  </pic:nvPicPr>
                  <pic:blipFill>
                    <a:blip r:embed="rId15"/>
                    <a:stretch>
                      <a:fillRect/>
                    </a:stretch>
                  </pic:blipFill>
                  <pic:spPr>
                    <a:xfrm>
                      <a:off x="0" y="0"/>
                      <a:ext cx="6120765" cy="3442970"/>
                    </a:xfrm>
                    <a:prstGeom prst="rect">
                      <a:avLst/>
                    </a:prstGeom>
                  </pic:spPr>
                </pic:pic>
              </a:graphicData>
            </a:graphic>
            <wp14:sizeRelH relativeFrom="page">
              <wp14:pctWidth>0</wp14:pctWidth>
            </wp14:sizeRelH>
            <wp14:sizeRelV relativeFrom="page">
              <wp14:pctHeight>0</wp14:pctHeight>
            </wp14:sizeRelV>
          </wp:anchor>
        </w:drawing>
      </w:r>
    </w:p>
    <w:p w14:paraId="07ED15FE" w14:textId="694CBE4D" w:rsidR="00D10C3F" w:rsidRPr="00535DD1" w:rsidRDefault="00D10C3F" w:rsidP="00D10C3F">
      <w:pPr>
        <w:pStyle w:val="Caption"/>
        <w:rPr>
          <w:b w:val="0"/>
          <w:bCs w:val="0"/>
        </w:rPr>
      </w:pPr>
      <w:bookmarkStart w:id="4" w:name="_Ref210296228"/>
      <w:r w:rsidRPr="00535DD1">
        <w:rPr>
          <w:b w:val="0"/>
          <w:bCs w:val="0"/>
        </w:rPr>
        <w:t xml:space="preserve">Figure </w:t>
      </w:r>
      <w:r w:rsidRPr="00535DD1">
        <w:rPr>
          <w:b w:val="0"/>
          <w:bCs w:val="0"/>
        </w:rPr>
        <w:fldChar w:fldCharType="begin"/>
      </w:r>
      <w:r w:rsidRPr="00535DD1">
        <w:rPr>
          <w:b w:val="0"/>
          <w:bCs w:val="0"/>
        </w:rPr>
        <w:instrText xml:space="preserve"> SEQ Figure \* ARABIC </w:instrText>
      </w:r>
      <w:r w:rsidRPr="00535DD1">
        <w:rPr>
          <w:b w:val="0"/>
          <w:bCs w:val="0"/>
        </w:rPr>
        <w:fldChar w:fldCharType="separate"/>
      </w:r>
      <w:r w:rsidR="001D4353">
        <w:rPr>
          <w:b w:val="0"/>
          <w:bCs w:val="0"/>
          <w:noProof/>
        </w:rPr>
        <w:t>8</w:t>
      </w:r>
      <w:r w:rsidRPr="00535DD1">
        <w:rPr>
          <w:b w:val="0"/>
          <w:bCs w:val="0"/>
        </w:rPr>
        <w:fldChar w:fldCharType="end"/>
      </w:r>
      <w:bookmarkEnd w:id="4"/>
      <w:r w:rsidRPr="00535DD1">
        <w:rPr>
          <w:b w:val="0"/>
          <w:bCs w:val="0"/>
        </w:rPr>
        <w:t xml:space="preserve">. Illustration of BLER and FAR performance for the proposed segmented CRC scheme with </w:t>
      </w:r>
      <m:oMath>
        <m:r>
          <m:rPr>
            <m:sty m:val="bi"/>
          </m:rPr>
          <w:rPr>
            <w:rFonts w:ascii="Cambria Math" w:hAnsi="Cambria Math"/>
          </w:rPr>
          <m:t>τ=5</m:t>
        </m:r>
      </m:oMath>
      <w:r w:rsidRPr="00535DD1">
        <w:rPr>
          <w:b w:val="0"/>
          <w:bCs w:val="0"/>
        </w:rPr>
        <w:t xml:space="preserve"> across various polar code configurations</w:t>
      </w:r>
    </w:p>
    <w:p w14:paraId="2D7158C3" w14:textId="77777777" w:rsidR="00D10C3F" w:rsidRDefault="00D10C3F" w:rsidP="00D10C3F">
      <w:pPr>
        <w:tabs>
          <w:tab w:val="left" w:pos="2596"/>
        </w:tabs>
      </w:pPr>
    </w:p>
    <w:p w14:paraId="7067001D" w14:textId="2A8CEB91" w:rsidR="00D10C3F" w:rsidRPr="00535DD1" w:rsidRDefault="00D10C3F" w:rsidP="00D10C3F">
      <w:pPr>
        <w:tabs>
          <w:tab w:val="left" w:pos="2596"/>
        </w:tabs>
        <w:jc w:val="both"/>
      </w:pPr>
      <w:r w:rsidRPr="00535DD1">
        <w:fldChar w:fldCharType="begin"/>
      </w:r>
      <w:r w:rsidRPr="00535DD1">
        <w:instrText xml:space="preserve"> REF _Ref210296228 \h  \* MERGEFORMAT </w:instrText>
      </w:r>
      <w:r w:rsidRPr="00535DD1">
        <w:fldChar w:fldCharType="separate"/>
      </w:r>
      <w:r w:rsidR="001D4353" w:rsidRPr="00535DD1">
        <w:t xml:space="preserve">Figure </w:t>
      </w:r>
      <w:r w:rsidR="001D4353" w:rsidRPr="001D4353">
        <w:rPr>
          <w:noProof/>
        </w:rPr>
        <w:t>8</w:t>
      </w:r>
      <w:r w:rsidRPr="00535DD1">
        <w:fldChar w:fldCharType="end"/>
      </w:r>
      <w:r w:rsidRPr="00535DD1">
        <w:t xml:space="preserve"> illustrates the performance of the proposed scheme with </w:t>
      </w:r>
      <m:oMath>
        <m:r>
          <w:rPr>
            <w:rFonts w:ascii="Cambria Math" w:hAnsi="Cambria Math"/>
          </w:rPr>
          <m:t>τ=5</m:t>
        </m:r>
      </m:oMath>
      <w:r>
        <w:t xml:space="preserve"> </w:t>
      </w:r>
      <w:r w:rsidRPr="00535DD1">
        <w:t xml:space="preserve">across various polar code configurations. The top-left figure shows BLER performance. For each configuration, SNR points are selected such that the midpoint corresponds to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Pr="00535DD1">
        <w:t xml:space="preserve"> BLER and the fourth point is close to</w:t>
      </w:r>
      <m:oMath>
        <m:r>
          <w:rPr>
            <w:rFonts w:ascii="Cambria Math" w:hAnsi="Cambria Math"/>
          </w:rPr>
          <m:t xml:space="preserve"> </m:t>
        </m:r>
        <m:sSup>
          <m:sSupPr>
            <m:ctrlPr>
              <w:rPr>
                <w:rFonts w:ascii="Cambria Math" w:hAnsi="Cambria Math"/>
                <w:i/>
              </w:rPr>
            </m:ctrlPr>
          </m:sSupPr>
          <m:e>
            <m:r>
              <w:rPr>
                <w:rFonts w:ascii="Cambria Math" w:hAnsi="Cambria Math"/>
              </w:rPr>
              <m:t>10</m:t>
            </m:r>
          </m:e>
          <m:sup>
            <m:r>
              <w:rPr>
                <w:rFonts w:ascii="Cambria Math" w:hAnsi="Cambria Math"/>
              </w:rPr>
              <m:t>-2</m:t>
            </m:r>
          </m:sup>
        </m:sSup>
      </m:oMath>
      <w:r w:rsidRPr="00535DD1">
        <w:t xml:space="preserve">. Note that the practical operating SNR is typically higher, as UEs often target BLER values around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rsidRPr="00535DD1">
        <w:t xml:space="preserve"> for PDCCH.</w:t>
      </w:r>
      <w:r>
        <w:t xml:space="preserve"> Here, the polar configurations are the rate-valid combinations from </w:t>
      </w:r>
      <m:oMath>
        <m:r>
          <w:rPr>
            <w:rFonts w:ascii="Cambria Math" w:hAnsi="Cambria Math"/>
          </w:rPr>
          <m:t>A∈</m:t>
        </m:r>
        <m:d>
          <m:dPr>
            <m:begChr m:val="{"/>
            <m:endChr m:val="}"/>
            <m:ctrlPr>
              <w:rPr>
                <w:rFonts w:ascii="Cambria Math" w:hAnsi="Cambria Math"/>
                <w:i/>
              </w:rPr>
            </m:ctrlPr>
          </m:dPr>
          <m:e>
            <m:r>
              <w:rPr>
                <w:rFonts w:ascii="Cambria Math" w:hAnsi="Cambria Math"/>
              </w:rPr>
              <m:t>16, 24, 32, 40, 48, 56, 64, 72, 80, 88, 96, 120, 140</m:t>
            </m:r>
          </m:e>
        </m:d>
      </m:oMath>
      <w:r>
        <w:t xml:space="preserve"> and </w:t>
      </w:r>
      <m:oMath>
        <m:r>
          <w:rPr>
            <w:rFonts w:ascii="Cambria Math" w:hAnsi="Cambria Math"/>
          </w:rPr>
          <m:t>E∈{96, 192, 384, 768}</m:t>
        </m:r>
      </m:oMath>
      <w:r>
        <w:t>.</w:t>
      </w:r>
    </w:p>
    <w:p w14:paraId="3A7C391E" w14:textId="77777777" w:rsidR="00D10C3F" w:rsidRDefault="00D10C3F" w:rsidP="00D10C3F">
      <w:pPr>
        <w:tabs>
          <w:tab w:val="left" w:pos="2596"/>
        </w:tabs>
        <w:jc w:val="both"/>
      </w:pPr>
    </w:p>
    <w:p w14:paraId="2CED1448" w14:textId="77777777" w:rsidR="00D10C3F" w:rsidRDefault="00D10C3F" w:rsidP="00D10C3F">
      <w:pPr>
        <w:tabs>
          <w:tab w:val="left" w:pos="2596"/>
        </w:tabs>
        <w:jc w:val="both"/>
      </w:pPr>
      <w:r w:rsidRPr="00535DD1">
        <w:t xml:space="preserve">The remaining three figures show FAR results for the three main categories: random noise, random QPSK symbols with noise, and undetected error rate (UER). The results indicate that FAR requirements are satisfied for all categories at the operating SNR values of interest. Among these, only UER exhibits dependence on SNR. For completeness, the curves span a wide SNR range, but evaluation of UER should be interpreted primarily at operating SNR levels, i.e., where BLER falls below thresholds such as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Pr="00535DD1">
        <w:t xml:space="preserve"> or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535DD1">
        <w:t>.</w:t>
      </w:r>
    </w:p>
    <w:p w14:paraId="1E2FD39E" w14:textId="77777777" w:rsidR="00D10C3F" w:rsidRDefault="00D10C3F" w:rsidP="00D10C3F">
      <w:pPr>
        <w:tabs>
          <w:tab w:val="left" w:pos="2596"/>
        </w:tabs>
      </w:pPr>
    </w:p>
    <w:p w14:paraId="2BD6167D" w14:textId="77777777" w:rsidR="00D10C3F" w:rsidRDefault="00D10C3F" w:rsidP="00D10C3F">
      <w:pPr>
        <w:tabs>
          <w:tab w:val="left" w:pos="2596"/>
        </w:tabs>
        <w:jc w:val="both"/>
      </w:pPr>
      <w:r w:rsidRPr="00B37E4E">
        <w:rPr>
          <w:b/>
          <w:bCs/>
          <w:i/>
          <w:iCs/>
          <w:u w:val="single"/>
        </w:rPr>
        <w:t xml:space="preserve">Proposal </w:t>
      </w:r>
      <w:r>
        <w:rPr>
          <w:b/>
          <w:bCs/>
          <w:i/>
          <w:iCs/>
          <w:u w:val="single"/>
        </w:rPr>
        <w:t>4</w:t>
      </w:r>
      <w:r w:rsidRPr="00B37E4E">
        <w:rPr>
          <w:b/>
          <w:bCs/>
          <w:i/>
          <w:iCs/>
        </w:rPr>
        <w:t>:</w:t>
      </w:r>
      <w:r w:rsidRPr="00B37E4E">
        <w:rPr>
          <w:i/>
          <w:iCs/>
        </w:rPr>
        <w:t xml:space="preserve"> </w:t>
      </w:r>
      <w:r w:rsidRPr="00535DD1">
        <w:rPr>
          <w:i/>
          <w:iCs/>
        </w:rPr>
        <w:t xml:space="preserve">It is proposed to simplify the CRC precoding for PDCCH by removing the bit-interleaver and introducing a segmented CRC precoding scheme, </w:t>
      </w:r>
      <w:r>
        <w:rPr>
          <w:i/>
          <w:iCs/>
        </w:rPr>
        <w:t>enhancing</w:t>
      </w:r>
      <w:r w:rsidRPr="00535DD1">
        <w:rPr>
          <w:i/>
          <w:iCs/>
        </w:rPr>
        <w:t xml:space="preserve"> CRC-assisted early termination while maintaining compliance with FAR requirements.</w:t>
      </w:r>
    </w:p>
    <w:p w14:paraId="4F2974D4" w14:textId="77777777" w:rsidR="00D10C3F" w:rsidRDefault="00D10C3F" w:rsidP="00D10C3F">
      <w:pPr>
        <w:tabs>
          <w:tab w:val="left" w:pos="2596"/>
        </w:tabs>
        <w:jc w:val="both"/>
      </w:pPr>
    </w:p>
    <w:p w14:paraId="20317784" w14:textId="6B4AB241" w:rsidR="002B1BBB" w:rsidRPr="002B1BBB" w:rsidRDefault="002B1BBB" w:rsidP="002B1BBB">
      <w:pPr>
        <w:tabs>
          <w:tab w:val="left" w:pos="2596"/>
        </w:tabs>
        <w:jc w:val="both"/>
      </w:pPr>
      <w:r w:rsidRPr="002B1BBB">
        <w:t>As discussed earlier, CRC precoding in polar codes serves two primary roles: (</w:t>
      </w:r>
      <w:proofErr w:type="spellStart"/>
      <w:r w:rsidRPr="002B1BBB">
        <w:t>i</w:t>
      </w:r>
      <w:proofErr w:type="spellEnd"/>
      <w:r w:rsidRPr="002B1BBB">
        <w:t>) enabling blind detection through RNTI verification, and (ii) enhancing error</w:t>
      </w:r>
      <w:r w:rsidRPr="002B1BBB">
        <w:noBreakHyphen/>
        <w:t>correction capability when combined with CRC</w:t>
      </w:r>
      <w:r w:rsidRPr="002B1BBB">
        <w:noBreakHyphen/>
        <w:t xml:space="preserve">aided SCL decoding. Recent advances in </w:t>
      </w:r>
      <w:r w:rsidRPr="002B1BBB">
        <w:rPr>
          <w:b/>
          <w:bCs/>
        </w:rPr>
        <w:t>Polarization Adjusted Convolutional (PAC) codes</w:t>
      </w:r>
      <w:r w:rsidRPr="002B1BBB">
        <w:t xml:space="preserve"> suggest that reliance on CRC precoding can be reduced. Notably, PAC codes paired with a conventional SCL decoder have been shown to outperform CRC</w:t>
      </w:r>
      <w:r w:rsidRPr="002B1BBB">
        <w:noBreakHyphen/>
        <w:t>aided polar codes in terms of error</w:t>
      </w:r>
      <w:r w:rsidRPr="002B1BBB">
        <w:noBreakHyphen/>
        <w:t xml:space="preserve">correction performance. At the same time, it remains possible to preserve the existing CRC scheme while employing PAC as a </w:t>
      </w:r>
      <w:r w:rsidRPr="002B1BBB">
        <w:rPr>
          <w:b/>
          <w:bCs/>
        </w:rPr>
        <w:t>rate</w:t>
      </w:r>
      <w:r w:rsidRPr="002B1BBB">
        <w:rPr>
          <w:b/>
          <w:bCs/>
        </w:rPr>
        <w:noBreakHyphen/>
        <w:t>1 pre</w:t>
      </w:r>
      <w:r w:rsidRPr="002B1BBB">
        <w:rPr>
          <w:b/>
          <w:bCs/>
        </w:rPr>
        <w:noBreakHyphen/>
        <w:t>transformation</w:t>
      </w:r>
      <w:r w:rsidRPr="002B1BBB">
        <w:t>, which enhances performance in two important ways:</w:t>
      </w:r>
    </w:p>
    <w:p w14:paraId="5C1226DF" w14:textId="77777777" w:rsidR="002B1BBB" w:rsidRDefault="002B1BBB" w:rsidP="002B1BBB">
      <w:pPr>
        <w:pStyle w:val="ListParagraph"/>
        <w:numPr>
          <w:ilvl w:val="0"/>
          <w:numId w:val="128"/>
        </w:numPr>
        <w:tabs>
          <w:tab w:val="left" w:pos="2596"/>
        </w:tabs>
        <w:jc w:val="both"/>
        <w:rPr>
          <w:rFonts w:ascii="Times New Roman" w:hAnsi="Times New Roman"/>
          <w:sz w:val="24"/>
          <w:szCs w:val="24"/>
        </w:rPr>
      </w:pPr>
      <w:r w:rsidRPr="002B1BBB">
        <w:rPr>
          <w:rFonts w:ascii="Times New Roman" w:hAnsi="Times New Roman"/>
          <w:b/>
          <w:bCs/>
          <w:sz w:val="24"/>
          <w:szCs w:val="24"/>
        </w:rPr>
        <w:lastRenderedPageBreak/>
        <w:t>Code randomization:</w:t>
      </w:r>
      <w:r w:rsidRPr="002B1BBB">
        <w:rPr>
          <w:rFonts w:ascii="Times New Roman" w:hAnsi="Times New Roman"/>
          <w:sz w:val="24"/>
          <w:szCs w:val="24"/>
        </w:rPr>
        <w:t> A rate</w:t>
      </w:r>
      <w:r w:rsidRPr="002B1BBB">
        <w:rPr>
          <w:rFonts w:ascii="Times New Roman" w:hAnsi="Times New Roman"/>
          <w:sz w:val="24"/>
          <w:szCs w:val="24"/>
        </w:rPr>
        <w:noBreakHyphen/>
        <w:t>1 convolutional pre</w:t>
      </w:r>
      <w:r w:rsidRPr="002B1BBB">
        <w:rPr>
          <w:rFonts w:ascii="Times New Roman" w:hAnsi="Times New Roman"/>
          <w:sz w:val="24"/>
          <w:szCs w:val="24"/>
        </w:rPr>
        <w:noBreakHyphen/>
        <w:t>transformation followed by a rate</w:t>
      </w:r>
      <w:r w:rsidRPr="002B1BBB">
        <w:rPr>
          <w:rFonts w:ascii="Times New Roman" w:hAnsi="Times New Roman"/>
          <w:sz w:val="24"/>
          <w:szCs w:val="24"/>
        </w:rPr>
        <w:noBreakHyphen/>
        <w:t>1 polar transformation effectively randomizes the code’s distance properties, approximating the behavior of random codes—known to be near</w:t>
      </w:r>
      <w:r w:rsidRPr="002B1BBB">
        <w:rPr>
          <w:rFonts w:ascii="Times New Roman" w:hAnsi="Times New Roman"/>
          <w:sz w:val="24"/>
          <w:szCs w:val="24"/>
        </w:rPr>
        <w:noBreakHyphen/>
        <w:t>optimal. When paired with SCL decoding, which approximates maximum</w:t>
      </w:r>
      <w:r w:rsidRPr="002B1BBB">
        <w:rPr>
          <w:rFonts w:ascii="Times New Roman" w:hAnsi="Times New Roman"/>
          <w:sz w:val="24"/>
          <w:szCs w:val="24"/>
        </w:rPr>
        <w:noBreakHyphen/>
        <w:t>likelihood decoding, this randomization substantially narrows the performance gap to theoretical limits.</w:t>
      </w:r>
    </w:p>
    <w:p w14:paraId="49F6CD38" w14:textId="77777777" w:rsidR="002B1BBB" w:rsidRPr="002B1BBB" w:rsidRDefault="002B1BBB" w:rsidP="002B1BBB">
      <w:pPr>
        <w:pStyle w:val="ListParagraph"/>
        <w:tabs>
          <w:tab w:val="left" w:pos="2596"/>
        </w:tabs>
        <w:ind w:left="360"/>
        <w:jc w:val="both"/>
        <w:rPr>
          <w:rFonts w:ascii="Times New Roman" w:hAnsi="Times New Roman"/>
          <w:sz w:val="24"/>
          <w:szCs w:val="24"/>
        </w:rPr>
      </w:pPr>
    </w:p>
    <w:p w14:paraId="62218EFA" w14:textId="21EB546A" w:rsidR="002B1BBB" w:rsidRPr="002B1BBB" w:rsidRDefault="002B1BBB" w:rsidP="002B1BBB">
      <w:pPr>
        <w:pStyle w:val="ListParagraph"/>
        <w:numPr>
          <w:ilvl w:val="0"/>
          <w:numId w:val="128"/>
        </w:numPr>
        <w:tabs>
          <w:tab w:val="left" w:pos="2596"/>
        </w:tabs>
        <w:jc w:val="both"/>
        <w:rPr>
          <w:rFonts w:ascii="Times New Roman" w:hAnsi="Times New Roman"/>
          <w:sz w:val="24"/>
          <w:szCs w:val="24"/>
        </w:rPr>
      </w:pPr>
      <w:r w:rsidRPr="002B1BBB">
        <w:rPr>
          <w:rFonts w:ascii="Times New Roman" w:hAnsi="Times New Roman"/>
          <w:b/>
          <w:bCs/>
          <w:sz w:val="24"/>
          <w:szCs w:val="24"/>
        </w:rPr>
        <w:t>Dynamic frozen bits:</w:t>
      </w:r>
      <w:r w:rsidRPr="002B1BBB">
        <w:rPr>
          <w:rFonts w:ascii="Times New Roman" w:hAnsi="Times New Roman"/>
          <w:sz w:val="24"/>
          <w:szCs w:val="24"/>
        </w:rPr>
        <w:t> The PAC pre</w:t>
      </w:r>
      <w:r w:rsidRPr="002B1BBB">
        <w:rPr>
          <w:rFonts w:ascii="Times New Roman" w:hAnsi="Times New Roman"/>
          <w:sz w:val="24"/>
          <w:szCs w:val="24"/>
        </w:rPr>
        <w:noBreakHyphen/>
        <w:t>transformation converts conventional frozen bits into </w:t>
      </w:r>
      <w:r w:rsidRPr="002B1BBB">
        <w:rPr>
          <w:rFonts w:ascii="Times New Roman" w:hAnsi="Times New Roman"/>
          <w:b/>
          <w:bCs/>
          <w:sz w:val="24"/>
          <w:szCs w:val="24"/>
        </w:rPr>
        <w:t>dynamic frozen bits</w:t>
      </w:r>
      <w:r w:rsidRPr="002B1BBB">
        <w:rPr>
          <w:rFonts w:ascii="Times New Roman" w:hAnsi="Times New Roman"/>
          <w:sz w:val="24"/>
          <w:szCs w:val="24"/>
        </w:rPr>
        <w:t>, defined as linear combinations of previously decoded bits. These dynamic frozen bits act as additional parity constraints. While both conventional and dynamic frozen bits are available to the decoder during operation, only the latter simultaneously contribute to </w:t>
      </w:r>
      <w:r w:rsidRPr="002B1BBB">
        <w:rPr>
          <w:rFonts w:ascii="Times New Roman" w:hAnsi="Times New Roman"/>
          <w:b/>
          <w:bCs/>
          <w:sz w:val="24"/>
          <w:szCs w:val="24"/>
        </w:rPr>
        <w:t>error correction and error detection</w:t>
      </w:r>
      <w:r w:rsidRPr="002B1BBB">
        <w:rPr>
          <w:rFonts w:ascii="Times New Roman" w:hAnsi="Times New Roman"/>
          <w:sz w:val="24"/>
          <w:szCs w:val="24"/>
        </w:rPr>
        <w:t>, offering functionality beyond that of traditional frozen bits.</w:t>
      </w:r>
    </w:p>
    <w:p w14:paraId="324E2B51" w14:textId="45065D2E" w:rsidR="00D10C3F" w:rsidRPr="00A848D1" w:rsidRDefault="00D10C3F" w:rsidP="00D10C3F">
      <w:pPr>
        <w:tabs>
          <w:tab w:val="left" w:pos="2596"/>
        </w:tabs>
        <w:ind w:left="567"/>
        <w:jc w:val="both"/>
      </w:pPr>
    </w:p>
    <w:p w14:paraId="70343844" w14:textId="24A46933" w:rsidR="00D10C3F" w:rsidRDefault="00D10C3F" w:rsidP="006D6B32">
      <w:pPr>
        <w:tabs>
          <w:tab w:val="left" w:pos="2596"/>
        </w:tabs>
        <w:jc w:val="both"/>
      </w:pPr>
      <w:r w:rsidRPr="0030484F">
        <w:rPr>
          <w:b/>
          <w:bCs/>
          <w:i/>
          <w:iCs/>
          <w:u w:val="single"/>
        </w:rPr>
        <w:t>Proposal 5</w:t>
      </w:r>
      <w:r w:rsidRPr="0030484F">
        <w:t xml:space="preserve">: </w:t>
      </w:r>
      <w:r w:rsidR="006D6B32" w:rsidRPr="006D6B32">
        <w:rPr>
          <w:i/>
          <w:iCs/>
        </w:rPr>
        <w:t>It is proposed to investigate the use of dynamic frozen bits in the design of polar codes, including convolutional precoding schemes,</w:t>
      </w:r>
      <w:r w:rsidR="006D6B32">
        <w:rPr>
          <w:i/>
          <w:iCs/>
        </w:rPr>
        <w:t xml:space="preserve"> to </w:t>
      </w:r>
      <w:r w:rsidR="006D6B32" w:rsidRPr="006D6B32">
        <w:rPr>
          <w:i/>
          <w:iCs/>
        </w:rPr>
        <w:t>further enhance the error correction capability of control channel codes.</w:t>
      </w:r>
    </w:p>
    <w:p w14:paraId="1E5F7A12" w14:textId="77777777" w:rsidR="00D10C3F" w:rsidRDefault="00D10C3F" w:rsidP="00D10C3F">
      <w:pPr>
        <w:tabs>
          <w:tab w:val="left" w:pos="2596"/>
        </w:tabs>
        <w:jc w:val="both"/>
      </w:pPr>
    </w:p>
    <w:p w14:paraId="4FDAD7A2" w14:textId="77777777" w:rsidR="00D10C3F" w:rsidRDefault="00D10C3F" w:rsidP="00D10C3F">
      <w:pPr>
        <w:tabs>
          <w:tab w:val="left" w:pos="2596"/>
        </w:tabs>
        <w:jc w:val="both"/>
      </w:pPr>
      <w:r w:rsidRPr="00A848D1">
        <w:t xml:space="preserve">Next, we address an under-investigated FAR concern for PDCCH. In the current design, the RNTI only affects the final 16 estimated bits of the decoding process. This is highly beneficial for blind detection, since a single decoding attempt can be cross-checked against multiple </w:t>
      </w:r>
      <w:r>
        <w:t>identifier</w:t>
      </w:r>
      <w:r w:rsidRPr="00A848D1">
        <w:t xml:space="preserve"> sequences without requiring repeated decoding. However, using the RNTI only as a verification step (rather than as a scrambler) introduces a potential weakness: in some cases, the only distinction between control messages for neighboring UEs may be the RNTI itself, which is insufficient to ensure robust FAR performance.</w:t>
      </w:r>
    </w:p>
    <w:p w14:paraId="198F4C8D" w14:textId="77777777" w:rsidR="00D10C3F" w:rsidRPr="00A848D1" w:rsidRDefault="00D10C3F" w:rsidP="00D10C3F">
      <w:pPr>
        <w:tabs>
          <w:tab w:val="left" w:pos="2596"/>
        </w:tabs>
        <w:jc w:val="both"/>
      </w:pPr>
    </w:p>
    <w:p w14:paraId="297889E0" w14:textId="77777777" w:rsidR="00D10C3F" w:rsidRPr="00A848D1" w:rsidRDefault="00D10C3F" w:rsidP="00D10C3F">
      <w:pPr>
        <w:tabs>
          <w:tab w:val="left" w:pos="2596"/>
        </w:tabs>
        <w:jc w:val="both"/>
      </w:pPr>
      <w:r w:rsidRPr="00A848D1">
        <w:t>This issue can be mitigated by enhancing the codeword scrambler. Specifically, the scrambler could be extended to incorporate additional elements such as the DCI format, partial RNTI information, or search space configuration parameters. Introducing this additional uniqueness into the scrambling process can strengthen protection against false alarms and improve overall FAR performance.</w:t>
      </w:r>
    </w:p>
    <w:p w14:paraId="104E2940" w14:textId="77777777" w:rsidR="00D10C3F" w:rsidRDefault="00D10C3F" w:rsidP="00D10C3F">
      <w:pPr>
        <w:tabs>
          <w:tab w:val="left" w:pos="2596"/>
        </w:tabs>
        <w:jc w:val="both"/>
      </w:pPr>
    </w:p>
    <w:p w14:paraId="21912BAF" w14:textId="77777777" w:rsidR="00D10C3F" w:rsidRPr="00A848D1" w:rsidRDefault="00D10C3F" w:rsidP="00D10C3F">
      <w:pPr>
        <w:tabs>
          <w:tab w:val="left" w:pos="2596"/>
        </w:tabs>
        <w:jc w:val="both"/>
        <w:rPr>
          <w:i/>
          <w:iCs/>
        </w:rPr>
      </w:pPr>
      <w:r w:rsidRPr="00B37E4E">
        <w:rPr>
          <w:b/>
          <w:bCs/>
          <w:i/>
          <w:iCs/>
          <w:u w:val="single"/>
        </w:rPr>
        <w:t xml:space="preserve">Proposal </w:t>
      </w:r>
      <w:r>
        <w:rPr>
          <w:b/>
          <w:bCs/>
          <w:i/>
          <w:iCs/>
          <w:u w:val="single"/>
        </w:rPr>
        <w:t>6</w:t>
      </w:r>
      <w:r w:rsidRPr="00B37E4E">
        <w:rPr>
          <w:b/>
          <w:bCs/>
          <w:i/>
          <w:iCs/>
        </w:rPr>
        <w:t>:</w:t>
      </w:r>
      <w:r w:rsidRPr="00B37E4E">
        <w:rPr>
          <w:i/>
          <w:iCs/>
        </w:rPr>
        <w:t xml:space="preserve"> </w:t>
      </w:r>
      <w:r w:rsidRPr="00A848D1">
        <w:rPr>
          <w:i/>
          <w:iCs/>
        </w:rPr>
        <w:t>It is proposed to improve the FAR performance for neighboring UEs in PDCCH by employing a UE-specific codeword scrambler. The scrambler would enhance the randomness of unintended PDCCH codewords, thereby reducing the likelihood of false alarms.</w:t>
      </w:r>
    </w:p>
    <w:p w14:paraId="4B82B46C" w14:textId="77777777" w:rsidR="00E67290" w:rsidRDefault="00E67290" w:rsidP="000827D7">
      <w:pPr>
        <w:jc w:val="both"/>
      </w:pPr>
    </w:p>
    <w:p w14:paraId="2185D726" w14:textId="77777777" w:rsidR="000827D7" w:rsidRDefault="000827D7" w:rsidP="000827D7">
      <w:r>
        <w:tab/>
      </w:r>
    </w:p>
    <w:p w14:paraId="3A0017F0" w14:textId="228C1F89" w:rsidR="3CD70229" w:rsidRDefault="69463B3D" w:rsidP="69463B3D">
      <w:pPr>
        <w:pStyle w:val="Heading2"/>
      </w:pPr>
      <w:r>
        <w:t>Data channel coding</w:t>
      </w:r>
    </w:p>
    <w:p w14:paraId="20D918D5" w14:textId="10D91445" w:rsidR="007343C6" w:rsidRDefault="002B1BBB" w:rsidP="00131A9D">
      <w:pPr>
        <w:jc w:val="both"/>
      </w:pPr>
      <w:r w:rsidRPr="002B1BBB">
        <w:t xml:space="preserve">We </w:t>
      </w:r>
      <w:r>
        <w:t xml:space="preserve">first </w:t>
      </w:r>
      <w:r w:rsidRPr="002B1BBB">
        <w:t>emphasize that any modifications proposed for 6G data</w:t>
      </w:r>
      <w:r w:rsidRPr="002B1BBB">
        <w:noBreakHyphen/>
        <w:t xml:space="preserve">channel coding should prioritize </w:t>
      </w:r>
      <w:r w:rsidRPr="002B1BBB">
        <w:rPr>
          <w:b/>
          <w:bCs/>
        </w:rPr>
        <w:t>maximum hardware re</w:t>
      </w:r>
      <w:r w:rsidRPr="002B1BBB">
        <w:rPr>
          <w:b/>
          <w:bCs/>
        </w:rPr>
        <w:noBreakHyphen/>
        <w:t>use</w:t>
      </w:r>
      <w:r w:rsidRPr="002B1BBB">
        <w:t xml:space="preserve"> and ensure </w:t>
      </w:r>
      <w:r w:rsidRPr="002B1BBB">
        <w:rPr>
          <w:b/>
          <w:bCs/>
        </w:rPr>
        <w:t>backward compatibility</w:t>
      </w:r>
      <w:r w:rsidRPr="002B1BBB">
        <w:t xml:space="preserve"> with </w:t>
      </w:r>
      <w:r>
        <w:t>existing</w:t>
      </w:r>
      <w:r w:rsidRPr="002B1BBB">
        <w:t xml:space="preserve"> LDPC codes standardized in 5G NR. In practice, this implies that </w:t>
      </w:r>
      <w:r w:rsidRPr="002B1BBB">
        <w:rPr>
          <w:b/>
          <w:bCs/>
        </w:rPr>
        <w:t>quasi</w:t>
      </w:r>
      <w:r w:rsidRPr="002B1BBB">
        <w:rPr>
          <w:b/>
          <w:bCs/>
        </w:rPr>
        <w:noBreakHyphen/>
        <w:t>cyclic LDPC codes</w:t>
      </w:r>
      <w:r w:rsidRPr="002B1BBB">
        <w:t xml:space="preserve"> remain the natural baseline for data</w:t>
      </w:r>
      <w:r w:rsidRPr="002B1BBB">
        <w:noBreakHyphen/>
        <w:t>channel coding in 6G.</w:t>
      </w:r>
      <w:r w:rsidR="00131A9D">
        <w:t xml:space="preserve">  </w:t>
      </w:r>
    </w:p>
    <w:p w14:paraId="230A9279" w14:textId="77777777" w:rsidR="00131A9D" w:rsidRDefault="00131A9D" w:rsidP="007343C6"/>
    <w:p w14:paraId="16E5747D" w14:textId="466CA7FE" w:rsidR="007343C6" w:rsidRPr="007343C6" w:rsidRDefault="007343C6" w:rsidP="007343C6">
      <w:pPr>
        <w:pStyle w:val="Heading3"/>
      </w:pPr>
      <w:r>
        <w:t>High Throughput LDPC Codes</w:t>
      </w:r>
    </w:p>
    <w:p w14:paraId="0F99E781" w14:textId="2E450E03" w:rsidR="002B1BBB" w:rsidRPr="002B1BBB" w:rsidRDefault="002B1BBB" w:rsidP="002B1BBB">
      <w:pPr>
        <w:spacing w:before="240" w:after="240"/>
        <w:jc w:val="both"/>
        <w:rPr>
          <w:rFonts w:eastAsia="Times New Roman"/>
          <w:color w:val="000000" w:themeColor="text1"/>
        </w:rPr>
      </w:pPr>
      <w:r w:rsidRPr="002B1BBB">
        <w:rPr>
          <w:rFonts w:eastAsia="Times New Roman"/>
          <w:color w:val="000000" w:themeColor="text1"/>
        </w:rPr>
        <w:t>There has been significant interest in advancing LDPC codes for the 6G data channel to meet the extreme throughput requirements envisioned for next</w:t>
      </w:r>
      <w:r w:rsidRPr="002B1BBB">
        <w:rPr>
          <w:rFonts w:eastAsia="Times New Roman"/>
          <w:color w:val="000000" w:themeColor="text1"/>
        </w:rPr>
        <w:noBreakHyphen/>
        <w:t>generation systems. According to the ITU</w:t>
      </w:r>
      <w:r w:rsidRPr="002B1BBB">
        <w:rPr>
          <w:rFonts w:eastAsia="Times New Roman"/>
          <w:color w:val="000000" w:themeColor="text1"/>
        </w:rPr>
        <w:noBreakHyphen/>
        <w:t xml:space="preserve">R recommendation for 6G [4], peak data rates are expected to reach at least </w:t>
      </w:r>
      <w:r w:rsidRPr="002B1BBB">
        <w:rPr>
          <w:rFonts w:eastAsia="Times New Roman"/>
          <w:b/>
          <w:bCs/>
          <w:color w:val="000000" w:themeColor="text1"/>
        </w:rPr>
        <w:t>40 </w:t>
      </w:r>
      <w:proofErr w:type="gramStart"/>
      <w:r w:rsidRPr="002B1BBB">
        <w:rPr>
          <w:rFonts w:eastAsia="Times New Roman"/>
          <w:b/>
          <w:bCs/>
          <w:color w:val="000000" w:themeColor="text1"/>
        </w:rPr>
        <w:t>Gbps</w:t>
      </w:r>
      <w:r w:rsidRPr="002B1BBB">
        <w:rPr>
          <w:rFonts w:eastAsia="Times New Roman"/>
          <w:color w:val="000000" w:themeColor="text1"/>
        </w:rPr>
        <w:t>, and</w:t>
      </w:r>
      <w:proofErr w:type="gramEnd"/>
      <w:r w:rsidRPr="002B1BBB">
        <w:rPr>
          <w:rFonts w:eastAsia="Times New Roman"/>
          <w:color w:val="000000" w:themeColor="text1"/>
        </w:rPr>
        <w:t xml:space="preserve"> potentially scale well beyond the </w:t>
      </w:r>
      <w:r w:rsidRPr="002B1BBB">
        <w:rPr>
          <w:rFonts w:eastAsia="Times New Roman"/>
          <w:b/>
          <w:bCs/>
          <w:color w:val="000000" w:themeColor="text1"/>
        </w:rPr>
        <w:t>20 Gbps</w:t>
      </w:r>
      <w:r w:rsidRPr="002B1BBB">
        <w:rPr>
          <w:rFonts w:eastAsia="Times New Roman"/>
          <w:color w:val="000000" w:themeColor="text1"/>
        </w:rPr>
        <w:t xml:space="preserve"> maximum design target of 5G NR. A key limitation observed in existing 5G NR LDPC codes is that they are not optimized for operation with a small number of decoder iterations. This is particularly problematic for high</w:t>
      </w:r>
      <w:r w:rsidRPr="002B1BBB">
        <w:rPr>
          <w:rFonts w:eastAsia="Times New Roman"/>
          <w:color w:val="000000" w:themeColor="text1"/>
        </w:rPr>
        <w:noBreakHyphen/>
        <w:t xml:space="preserve">throughput use cases, where reducing the </w:t>
      </w:r>
      <w:r w:rsidRPr="002B1BBB">
        <w:rPr>
          <w:rFonts w:eastAsia="Times New Roman"/>
          <w:color w:val="000000" w:themeColor="text1"/>
        </w:rPr>
        <w:lastRenderedPageBreak/>
        <w:t xml:space="preserve">number of iterations is one of the most direct ways to boost effective system throughput. This creates a strong motivation to design new </w:t>
      </w:r>
      <w:r>
        <w:rPr>
          <w:rFonts w:eastAsia="Times New Roman"/>
          <w:color w:val="000000" w:themeColor="text1"/>
        </w:rPr>
        <w:t>QC-</w:t>
      </w:r>
      <w:r w:rsidRPr="002B1BBB">
        <w:rPr>
          <w:rFonts w:eastAsia="Times New Roman"/>
          <w:color w:val="000000" w:themeColor="text1"/>
        </w:rPr>
        <w:t xml:space="preserve">LDPC </w:t>
      </w:r>
      <w:r>
        <w:rPr>
          <w:rFonts w:eastAsia="Times New Roman"/>
          <w:color w:val="000000" w:themeColor="text1"/>
        </w:rPr>
        <w:t>base graphs</w:t>
      </w:r>
      <w:r w:rsidRPr="002B1BBB">
        <w:rPr>
          <w:rFonts w:eastAsia="Times New Roman"/>
          <w:color w:val="000000" w:themeColor="text1"/>
        </w:rPr>
        <w:t xml:space="preserve"> that maintain robust performance even with fewer decoding iterations.</w:t>
      </w:r>
    </w:p>
    <w:p w14:paraId="1E52FBBC" w14:textId="265CA848" w:rsidR="002B1BBB" w:rsidRPr="002B1BBB" w:rsidRDefault="002B1BBB" w:rsidP="002B1BBB">
      <w:pPr>
        <w:spacing w:before="240" w:after="240"/>
        <w:jc w:val="both"/>
        <w:rPr>
          <w:rFonts w:eastAsia="Times New Roman"/>
          <w:color w:val="000000" w:themeColor="text1"/>
        </w:rPr>
      </w:pPr>
      <w:r w:rsidRPr="002B1BBB">
        <w:rPr>
          <w:rFonts w:eastAsia="Times New Roman"/>
          <w:color w:val="000000" w:themeColor="text1"/>
        </w:rPr>
        <w:t>At the same time, improvements in the low</w:t>
      </w:r>
      <w:r w:rsidRPr="002B1BBB">
        <w:rPr>
          <w:rFonts w:eastAsia="Times New Roman"/>
          <w:color w:val="000000" w:themeColor="text1"/>
        </w:rPr>
        <w:noBreakHyphen/>
        <w:t xml:space="preserve">iteration regime must not come at the expense of </w:t>
      </w:r>
      <w:r w:rsidR="00790E6B">
        <w:rPr>
          <w:rFonts w:eastAsia="Times New Roman"/>
          <w:color w:val="000000" w:themeColor="text1"/>
        </w:rPr>
        <w:t xml:space="preserve">compromised </w:t>
      </w:r>
      <w:r w:rsidRPr="002B1BBB">
        <w:rPr>
          <w:rFonts w:eastAsia="Times New Roman"/>
          <w:color w:val="000000" w:themeColor="text1"/>
        </w:rPr>
        <w:t>performance at larger iteration counts. Poor performance in the high</w:t>
      </w:r>
      <w:r w:rsidRPr="002B1BBB">
        <w:rPr>
          <w:rFonts w:eastAsia="Times New Roman"/>
          <w:color w:val="000000" w:themeColor="text1"/>
        </w:rPr>
        <w:noBreakHyphen/>
        <w:t>iteration regime increases the retransmission rate, which can quickly erode</w:t>
      </w:r>
      <w:r w:rsidR="00790E6B">
        <w:rPr>
          <w:rFonts w:eastAsia="Times New Roman"/>
          <w:color w:val="000000" w:themeColor="text1"/>
        </w:rPr>
        <w:t xml:space="preserve"> the</w:t>
      </w:r>
      <w:r w:rsidRPr="002B1BBB">
        <w:rPr>
          <w:rFonts w:eastAsia="Times New Roman"/>
          <w:color w:val="000000" w:themeColor="text1"/>
        </w:rPr>
        <w:t xml:space="preserve"> overall system throughput. Therefore, we argue that any new LDPC code design for 6G should achieve strong performance with few iterations </w:t>
      </w:r>
      <w:r w:rsidRPr="002B1BBB">
        <w:rPr>
          <w:rFonts w:eastAsia="Times New Roman"/>
          <w:b/>
          <w:bCs/>
          <w:color w:val="000000" w:themeColor="text1"/>
        </w:rPr>
        <w:t>while not substantially degrading performance in the large</w:t>
      </w:r>
      <w:r w:rsidRPr="002B1BBB">
        <w:rPr>
          <w:rFonts w:eastAsia="Times New Roman"/>
          <w:b/>
          <w:bCs/>
          <w:color w:val="000000" w:themeColor="text1"/>
        </w:rPr>
        <w:noBreakHyphen/>
        <w:t>iteration regime relative to 5G NR</w:t>
      </w:r>
      <w:r w:rsidRPr="002B1BBB">
        <w:rPr>
          <w:rFonts w:eastAsia="Times New Roman"/>
          <w:color w:val="000000" w:themeColor="text1"/>
        </w:rPr>
        <w:t>. Encouragingly, recent research demonstrates that LDPC codes meeting both these requirements can indeed be constructed.</w:t>
      </w:r>
    </w:p>
    <w:p w14:paraId="002E2B08" w14:textId="42C1D48B" w:rsidR="3CD70229" w:rsidRPr="004342A2" w:rsidRDefault="69463B3D" w:rsidP="3CD70229">
      <w:pPr>
        <w:spacing w:before="240" w:after="240"/>
        <w:jc w:val="both"/>
        <w:rPr>
          <w:rFonts w:eastAsia="Times New Roman"/>
          <w:color w:val="000000" w:themeColor="text1"/>
        </w:rPr>
      </w:pPr>
      <w:r w:rsidRPr="69463B3D">
        <w:rPr>
          <w:rFonts w:eastAsia="Times New Roman"/>
          <w:color w:val="000000" w:themeColor="text1"/>
        </w:rPr>
        <w:t xml:space="preserve">In </w:t>
      </w:r>
      <w:r w:rsidR="00705C66" w:rsidRPr="00705C66">
        <w:rPr>
          <w:rFonts w:eastAsia="Times New Roman"/>
          <w:color w:val="000000" w:themeColor="text1"/>
        </w:rPr>
        <w:fldChar w:fldCharType="begin"/>
      </w:r>
      <w:r w:rsidR="00705C66" w:rsidRPr="00705C66">
        <w:rPr>
          <w:rFonts w:eastAsia="Times New Roman"/>
          <w:color w:val="000000" w:themeColor="text1"/>
        </w:rPr>
        <w:instrText xml:space="preserve"> REF _Ref210310777 \h  \* MERGEFORMAT </w:instrText>
      </w:r>
      <w:r w:rsidR="00705C66" w:rsidRPr="00705C66">
        <w:rPr>
          <w:rFonts w:eastAsia="Times New Roman"/>
          <w:color w:val="000000" w:themeColor="text1"/>
        </w:rPr>
      </w:r>
      <w:r w:rsidR="00705C66" w:rsidRPr="00705C66">
        <w:rPr>
          <w:rFonts w:eastAsia="Times New Roman"/>
          <w:color w:val="000000" w:themeColor="text1"/>
        </w:rPr>
        <w:fldChar w:fldCharType="separate"/>
      </w:r>
      <w:r w:rsidR="00705C66" w:rsidRPr="00705C66">
        <w:t xml:space="preserve">Figure </w:t>
      </w:r>
      <w:r w:rsidR="00705C66" w:rsidRPr="00705C66">
        <w:rPr>
          <w:noProof/>
        </w:rPr>
        <w:t>9</w:t>
      </w:r>
      <w:r w:rsidR="00705C66" w:rsidRPr="00705C66">
        <w:rPr>
          <w:rFonts w:eastAsia="Times New Roman"/>
          <w:color w:val="000000" w:themeColor="text1"/>
        </w:rPr>
        <w:fldChar w:fldCharType="end"/>
      </w:r>
      <w:r w:rsidR="00705C66">
        <w:rPr>
          <w:rFonts w:eastAsia="Times New Roman"/>
          <w:color w:val="000000" w:themeColor="text1"/>
        </w:rPr>
        <w:t xml:space="preserve">, </w:t>
      </w:r>
      <w:r w:rsidRPr="69463B3D">
        <w:rPr>
          <w:rFonts w:eastAsia="Times New Roman"/>
          <w:color w:val="000000" w:themeColor="text1"/>
        </w:rPr>
        <w:t xml:space="preserve">we show the SNR threshold of a new LDPC code at rate=0.71, information size K=8448 bits, AWGN channel with BPSK modulation, at the Block Error Rate (BLER) of 1.00E-02. The new LDPC code has similar base graph dimension as 5G NR at rate=0.71, the same lifting size of Z=384. The performance is shown </w:t>
      </w:r>
      <w:r w:rsidR="002B1BBB">
        <w:rPr>
          <w:rFonts w:eastAsia="Times New Roman"/>
          <w:color w:val="000000" w:themeColor="text1"/>
        </w:rPr>
        <w:t>using</w:t>
      </w:r>
      <w:r w:rsidRPr="69463B3D">
        <w:rPr>
          <w:rFonts w:eastAsia="Times New Roman"/>
          <w:color w:val="000000" w:themeColor="text1"/>
        </w:rPr>
        <w:t xml:space="preserve"> the </w:t>
      </w:r>
      <w:r w:rsidR="002B1BBB">
        <w:rPr>
          <w:rFonts w:eastAsia="Times New Roman"/>
          <w:color w:val="000000" w:themeColor="text1"/>
        </w:rPr>
        <w:t>l</w:t>
      </w:r>
      <w:r w:rsidRPr="69463B3D">
        <w:rPr>
          <w:rFonts w:eastAsia="Times New Roman"/>
          <w:color w:val="000000" w:themeColor="text1"/>
        </w:rPr>
        <w:t xml:space="preserve">ayered </w:t>
      </w:r>
      <w:r w:rsidR="002B1BBB">
        <w:rPr>
          <w:rFonts w:eastAsia="Times New Roman"/>
          <w:color w:val="000000" w:themeColor="text1"/>
        </w:rPr>
        <w:t>b</w:t>
      </w:r>
      <w:r w:rsidRPr="69463B3D">
        <w:rPr>
          <w:rFonts w:eastAsia="Times New Roman"/>
          <w:color w:val="000000" w:themeColor="text1"/>
        </w:rPr>
        <w:t>elief-</w:t>
      </w:r>
      <w:r w:rsidR="002B1BBB">
        <w:rPr>
          <w:rFonts w:eastAsia="Times New Roman"/>
          <w:color w:val="000000" w:themeColor="text1"/>
        </w:rPr>
        <w:t>p</w:t>
      </w:r>
      <w:r w:rsidRPr="69463B3D">
        <w:rPr>
          <w:rFonts w:eastAsia="Times New Roman"/>
          <w:color w:val="000000" w:themeColor="text1"/>
        </w:rPr>
        <w:t xml:space="preserve">ropagation </w:t>
      </w:r>
      <w:r w:rsidR="002B1BBB">
        <w:rPr>
          <w:rFonts w:eastAsia="Times New Roman"/>
          <w:color w:val="000000" w:themeColor="text1"/>
        </w:rPr>
        <w:t>LDPC</w:t>
      </w:r>
      <w:r w:rsidRPr="69463B3D">
        <w:rPr>
          <w:rFonts w:eastAsia="Times New Roman"/>
          <w:color w:val="000000" w:themeColor="text1"/>
        </w:rPr>
        <w:t xml:space="preserve"> decoder. </w:t>
      </w:r>
    </w:p>
    <w:p w14:paraId="541F04D5" w14:textId="7649DBE9" w:rsidR="001F5251" w:rsidRDefault="001F5251" w:rsidP="00F829A7">
      <w:pPr>
        <w:keepNext/>
        <w:spacing w:before="240" w:after="240"/>
        <w:jc w:val="center"/>
      </w:pPr>
    </w:p>
    <w:p w14:paraId="1AA1B2C8" w14:textId="77777777" w:rsidR="001930E1" w:rsidRDefault="001930E1" w:rsidP="001930E1">
      <w:pPr>
        <w:keepNext/>
        <w:spacing w:before="240" w:after="240"/>
        <w:jc w:val="both"/>
      </w:pPr>
      <w:r>
        <w:rPr>
          <w:rFonts w:eastAsia="Times New Roman"/>
          <w:noProof/>
          <w:color w:val="000000" w:themeColor="text1"/>
        </w:rPr>
        <w:drawing>
          <wp:inline distT="0" distB="0" distL="0" distR="0" wp14:anchorId="33DDB553" wp14:editId="73FC7D50">
            <wp:extent cx="6120765" cy="3180080"/>
            <wp:effectExtent l="0" t="0" r="635" b="0"/>
            <wp:docPr id="464492535" name="Picture 8" descr="A graph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92535" name="Picture 8" descr="A graph of a number&#10;&#10;AI-generated content may be incorrect."/>
                    <pic:cNvPicPr/>
                  </pic:nvPicPr>
                  <pic:blipFill>
                    <a:blip r:embed="rId16"/>
                    <a:stretch>
                      <a:fillRect/>
                    </a:stretch>
                  </pic:blipFill>
                  <pic:spPr>
                    <a:xfrm>
                      <a:off x="0" y="0"/>
                      <a:ext cx="6120765" cy="3180080"/>
                    </a:xfrm>
                    <a:prstGeom prst="rect">
                      <a:avLst/>
                    </a:prstGeom>
                  </pic:spPr>
                </pic:pic>
              </a:graphicData>
            </a:graphic>
          </wp:inline>
        </w:drawing>
      </w:r>
    </w:p>
    <w:p w14:paraId="4854735B" w14:textId="6E906F47" w:rsidR="001930E1" w:rsidRPr="001930E1" w:rsidRDefault="001930E1" w:rsidP="001930E1">
      <w:pPr>
        <w:pStyle w:val="Caption"/>
        <w:rPr>
          <w:b w:val="0"/>
          <w:bCs w:val="0"/>
        </w:rPr>
      </w:pPr>
      <w:bookmarkStart w:id="5" w:name="_Ref210310777"/>
      <w:bookmarkStart w:id="6" w:name="_Ref210310769"/>
      <w:r w:rsidRPr="001930E1">
        <w:rPr>
          <w:b w:val="0"/>
          <w:bCs w:val="0"/>
        </w:rPr>
        <w:t xml:space="preserve">Figure </w:t>
      </w:r>
      <w:r w:rsidRPr="001930E1">
        <w:rPr>
          <w:b w:val="0"/>
          <w:bCs w:val="0"/>
        </w:rPr>
        <w:fldChar w:fldCharType="begin"/>
      </w:r>
      <w:r w:rsidRPr="001930E1">
        <w:rPr>
          <w:b w:val="0"/>
          <w:bCs w:val="0"/>
        </w:rPr>
        <w:instrText xml:space="preserve"> SEQ Figure \* ARABIC </w:instrText>
      </w:r>
      <w:r w:rsidRPr="001930E1">
        <w:rPr>
          <w:b w:val="0"/>
          <w:bCs w:val="0"/>
        </w:rPr>
        <w:fldChar w:fldCharType="separate"/>
      </w:r>
      <w:r w:rsidR="001D4353">
        <w:rPr>
          <w:b w:val="0"/>
          <w:bCs w:val="0"/>
          <w:noProof/>
        </w:rPr>
        <w:t>9</w:t>
      </w:r>
      <w:r w:rsidRPr="001930E1">
        <w:rPr>
          <w:b w:val="0"/>
          <w:bCs w:val="0"/>
        </w:rPr>
        <w:fldChar w:fldCharType="end"/>
      </w:r>
      <w:bookmarkEnd w:id="5"/>
      <w:r w:rsidRPr="001930E1">
        <w:rPr>
          <w:b w:val="0"/>
          <w:bCs w:val="0"/>
        </w:rPr>
        <w:t>: Achievable SNR threshold at BLER of 1.00E-02 for the new LDPC code and 5G NR at a rate of 0.71 and K=8448.</w:t>
      </w:r>
      <w:bookmarkEnd w:id="6"/>
    </w:p>
    <w:p w14:paraId="4A039B42" w14:textId="426730DD" w:rsidR="3CD70229" w:rsidRDefault="3CD70229" w:rsidP="3CD70229">
      <w:pPr>
        <w:spacing w:before="240" w:after="240"/>
        <w:jc w:val="both"/>
      </w:pPr>
      <w:r w:rsidRPr="3CD70229">
        <w:rPr>
          <w:rFonts w:eastAsia="Times New Roman"/>
          <w:color w:val="000000" w:themeColor="text1"/>
        </w:rPr>
        <w:t>This motivates the following proposal for the high throughput scenario.</w:t>
      </w:r>
    </w:p>
    <w:p w14:paraId="7D4B4FD0" w14:textId="7DDD2414" w:rsidR="3CD70229" w:rsidRDefault="69463B3D" w:rsidP="69463B3D">
      <w:pPr>
        <w:spacing w:before="240" w:after="240"/>
        <w:jc w:val="both"/>
        <w:rPr>
          <w:rFonts w:eastAsia="Times New Roman"/>
          <w:i/>
          <w:iCs/>
          <w:color w:val="000000" w:themeColor="text1"/>
        </w:rPr>
      </w:pPr>
      <w:r w:rsidRPr="69463B3D">
        <w:rPr>
          <w:rFonts w:eastAsia="Times New Roman"/>
          <w:b/>
          <w:bCs/>
          <w:i/>
          <w:iCs/>
          <w:color w:val="000000" w:themeColor="text1"/>
          <w:u w:val="single"/>
        </w:rPr>
        <w:t xml:space="preserve">Proposal </w:t>
      </w:r>
      <w:r w:rsidR="00D10C3F">
        <w:rPr>
          <w:rFonts w:eastAsia="Times New Roman"/>
          <w:b/>
          <w:bCs/>
          <w:i/>
          <w:iCs/>
          <w:color w:val="000000" w:themeColor="text1"/>
          <w:u w:val="single"/>
        </w:rPr>
        <w:t>7</w:t>
      </w:r>
      <w:r w:rsidRPr="69463B3D">
        <w:rPr>
          <w:rFonts w:eastAsia="Times New Roman"/>
          <w:b/>
          <w:bCs/>
          <w:i/>
          <w:iCs/>
          <w:color w:val="000000" w:themeColor="text1"/>
        </w:rPr>
        <w:t>:</w:t>
      </w:r>
      <w:r w:rsidRPr="69463B3D">
        <w:rPr>
          <w:rFonts w:eastAsia="Times New Roman"/>
          <w:i/>
          <w:iCs/>
          <w:color w:val="000000" w:themeColor="text1"/>
        </w:rPr>
        <w:t xml:space="preserve"> </w:t>
      </w:r>
      <w:r w:rsidR="002B1BBB">
        <w:rPr>
          <w:rFonts w:eastAsia="Times New Roman"/>
          <w:i/>
          <w:iCs/>
          <w:color w:val="000000" w:themeColor="text1"/>
        </w:rPr>
        <w:t>It is proposed</w:t>
      </w:r>
      <w:r w:rsidRPr="69463B3D">
        <w:rPr>
          <w:rFonts w:eastAsia="Times New Roman"/>
          <w:i/>
          <w:iCs/>
          <w:color w:val="000000" w:themeColor="text1"/>
        </w:rPr>
        <w:t xml:space="preserve"> to consider new </w:t>
      </w:r>
      <w:r w:rsidR="002B1BBB">
        <w:rPr>
          <w:rFonts w:eastAsia="Times New Roman"/>
          <w:i/>
          <w:iCs/>
          <w:color w:val="000000" w:themeColor="text1"/>
        </w:rPr>
        <w:t xml:space="preserve">LDPC </w:t>
      </w:r>
      <w:r w:rsidRPr="69463B3D">
        <w:rPr>
          <w:rFonts w:eastAsia="Times New Roman"/>
          <w:i/>
          <w:iCs/>
          <w:color w:val="000000" w:themeColor="text1"/>
        </w:rPr>
        <w:t xml:space="preserve">base graph design to support high throughput use cases by optimizing the performance in the small number of iterations, without losing performance in the large number of iterations compared to 5G NR. </w:t>
      </w:r>
    </w:p>
    <w:p w14:paraId="11487EE2" w14:textId="18EB0570" w:rsidR="3CD70229" w:rsidRDefault="002B1BBB" w:rsidP="69463B3D">
      <w:pPr>
        <w:spacing w:before="240" w:after="240"/>
        <w:jc w:val="both"/>
        <w:rPr>
          <w:rFonts w:eastAsia="Times New Roman"/>
          <w:color w:val="000000" w:themeColor="text1"/>
        </w:rPr>
      </w:pPr>
      <w:r w:rsidRPr="002B1BBB">
        <w:rPr>
          <w:rFonts w:eastAsia="Times New Roman"/>
          <w:color w:val="000000" w:themeColor="text1"/>
        </w:rPr>
        <w:t>One of the defining advantages of the LDPC codes adopted in 5G NR is their ability to realize a wide range of code rates from a single parity</w:t>
      </w:r>
      <w:r w:rsidRPr="002B1BBB">
        <w:rPr>
          <w:rFonts w:eastAsia="Times New Roman"/>
          <w:color w:val="000000" w:themeColor="text1"/>
        </w:rPr>
        <w:noBreakHyphen/>
        <w:t xml:space="preserve">check matrix </w:t>
      </w:r>
      <w:proofErr w:type="gramStart"/>
      <w:r w:rsidRPr="002B1BBB">
        <w:rPr>
          <w:rFonts w:eastAsia="Times New Roman"/>
          <w:color w:val="000000" w:themeColor="text1"/>
        </w:rPr>
        <w:t>through the use of</w:t>
      </w:r>
      <w:proofErr w:type="gramEnd"/>
      <w:r w:rsidRPr="002B1BBB">
        <w:rPr>
          <w:rFonts w:eastAsia="Times New Roman"/>
          <w:color w:val="000000" w:themeColor="text1"/>
        </w:rPr>
        <w:t xml:space="preserve"> an incremental redundancy coding (IRC) structure. For 6G, we envision that new high</w:t>
      </w:r>
      <w:r w:rsidRPr="002B1BBB">
        <w:rPr>
          <w:rFonts w:eastAsia="Times New Roman"/>
          <w:color w:val="000000" w:themeColor="text1"/>
        </w:rPr>
        <w:noBreakHyphen/>
        <w:t>throughput base graphs should preserve this property, incorporating a similar IRC structure to efficiently support different rate regions. For instance, a high</w:t>
      </w:r>
      <w:r w:rsidRPr="002B1BBB">
        <w:rPr>
          <w:rFonts w:eastAsia="Times New Roman"/>
          <w:color w:val="000000" w:themeColor="text1"/>
        </w:rPr>
        <w:noBreakHyphen/>
        <w:t xml:space="preserve">rate code (HRC) could operate at a rate of 0.71, with the IRC extension enabling a </w:t>
      </w:r>
      <w:r w:rsidRPr="002B1BBB">
        <w:rPr>
          <w:rFonts w:eastAsia="Times New Roman"/>
          <w:color w:val="000000" w:themeColor="text1"/>
        </w:rPr>
        <w:lastRenderedPageBreak/>
        <w:t>corresponding low</w:t>
      </w:r>
      <w:r w:rsidRPr="002B1BBB">
        <w:rPr>
          <w:rFonts w:eastAsia="Times New Roman"/>
          <w:color w:val="000000" w:themeColor="text1"/>
        </w:rPr>
        <w:noBreakHyphen/>
        <w:t>rate code at 0.50. In another configuration, an HRC at rate 0.88 could be extended through IRC to yield a rate 0.71 code—all derived from the same parity</w:t>
      </w:r>
      <w:r w:rsidRPr="002B1BBB">
        <w:rPr>
          <w:rFonts w:eastAsia="Times New Roman"/>
          <w:color w:val="000000" w:themeColor="text1"/>
        </w:rPr>
        <w:noBreakHyphen/>
        <w:t>check matrix. This structural reuse would greatly simplify both implementation and standardization while ensuring efficiency across diverse throughput scenarios.</w:t>
      </w:r>
      <w:r w:rsidR="69463B3D" w:rsidRPr="69463B3D">
        <w:rPr>
          <w:rFonts w:eastAsia="Times New Roman"/>
          <w:color w:val="000000" w:themeColor="text1"/>
        </w:rPr>
        <w:t xml:space="preserve"> </w:t>
      </w:r>
    </w:p>
    <w:p w14:paraId="7EAE270B" w14:textId="16C48767" w:rsidR="3CD70229" w:rsidRDefault="002B1BBB" w:rsidP="3CD70229">
      <w:pPr>
        <w:spacing w:before="240" w:after="240"/>
        <w:jc w:val="both"/>
      </w:pPr>
      <w:r w:rsidRPr="002B1BBB">
        <w:rPr>
          <w:rFonts w:eastAsia="Times New Roman"/>
          <w:color w:val="000000" w:themeColor="text1"/>
        </w:rPr>
        <w:t>More importantly, the design of new high</w:t>
      </w:r>
      <w:r w:rsidRPr="002B1BBB">
        <w:rPr>
          <w:rFonts w:eastAsia="Times New Roman"/>
          <w:color w:val="000000" w:themeColor="text1"/>
        </w:rPr>
        <w:noBreakHyphen/>
        <w:t xml:space="preserve">throughput base graphs should aim to optimize performance under a small number of decoding iterations, without degrading performance under </w:t>
      </w:r>
      <w:proofErr w:type="gramStart"/>
      <w:r w:rsidRPr="002B1BBB">
        <w:rPr>
          <w:rFonts w:eastAsia="Times New Roman"/>
          <w:color w:val="000000" w:themeColor="text1"/>
        </w:rPr>
        <w:t>a large number of</w:t>
      </w:r>
      <w:proofErr w:type="gramEnd"/>
      <w:r w:rsidRPr="002B1BBB">
        <w:rPr>
          <w:rFonts w:eastAsia="Times New Roman"/>
          <w:color w:val="000000" w:themeColor="text1"/>
        </w:rPr>
        <w:t xml:space="preserve"> iterations, consistently across the entire supported code</w:t>
      </w:r>
      <w:r w:rsidRPr="002B1BBB">
        <w:rPr>
          <w:rFonts w:eastAsia="Times New Roman"/>
          <w:color w:val="000000" w:themeColor="text1"/>
        </w:rPr>
        <w:noBreakHyphen/>
        <w:t>rate region enabled by the IRC extension. This principle is illustrated in the following figures.</w:t>
      </w:r>
      <w:r w:rsidR="3CD70229" w:rsidRPr="002B1BBB">
        <w:rPr>
          <w:rFonts w:eastAsia="Times New Roman"/>
          <w:color w:val="000000" w:themeColor="text1"/>
        </w:rPr>
        <w:t xml:space="preserve"> </w:t>
      </w:r>
      <w:r w:rsidR="00B01908">
        <w:rPr>
          <w:rFonts w:eastAsia="Times New Roman"/>
          <w:color w:val="000000" w:themeColor="text1"/>
        </w:rPr>
        <w:t xml:space="preserve">In </w:t>
      </w:r>
      <w:r w:rsidR="00B01908" w:rsidRPr="00B01908">
        <w:rPr>
          <w:rFonts w:eastAsia="Times New Roman"/>
          <w:color w:val="000000" w:themeColor="text1"/>
        </w:rPr>
        <w:fldChar w:fldCharType="begin"/>
      </w:r>
      <w:r w:rsidR="00B01908" w:rsidRPr="00B01908">
        <w:rPr>
          <w:rFonts w:eastAsia="Times New Roman"/>
          <w:color w:val="000000" w:themeColor="text1"/>
        </w:rPr>
        <w:instrText xml:space="preserve"> REF _Ref210311565 \h  \* MERGEFORMAT </w:instrText>
      </w:r>
      <w:r w:rsidR="00B01908" w:rsidRPr="00B01908">
        <w:rPr>
          <w:rFonts w:eastAsia="Times New Roman"/>
          <w:color w:val="000000" w:themeColor="text1"/>
        </w:rPr>
      </w:r>
      <w:r w:rsidR="00B01908" w:rsidRPr="00B01908">
        <w:rPr>
          <w:rFonts w:eastAsia="Times New Roman"/>
          <w:color w:val="000000" w:themeColor="text1"/>
        </w:rPr>
        <w:fldChar w:fldCharType="separate"/>
      </w:r>
      <w:r w:rsidR="00B01908" w:rsidRPr="00B01908">
        <w:t xml:space="preserve">Figure </w:t>
      </w:r>
      <w:r w:rsidR="00B01908" w:rsidRPr="00B01908">
        <w:rPr>
          <w:noProof/>
        </w:rPr>
        <w:t>10</w:t>
      </w:r>
      <w:r w:rsidR="00B01908" w:rsidRPr="00B01908">
        <w:rPr>
          <w:rFonts w:eastAsia="Times New Roman"/>
          <w:color w:val="000000" w:themeColor="text1"/>
        </w:rPr>
        <w:fldChar w:fldCharType="end"/>
      </w:r>
      <w:r w:rsidR="00B01908" w:rsidRPr="00B01908">
        <w:rPr>
          <w:rFonts w:eastAsia="Times New Roman"/>
          <w:color w:val="000000" w:themeColor="text1"/>
        </w:rPr>
        <w:t xml:space="preserve"> </w:t>
      </w:r>
      <w:r w:rsidR="00075DA0" w:rsidRPr="00B01908">
        <w:rPr>
          <w:rFonts w:eastAsia="Times New Roman"/>
          <w:color w:val="000000" w:themeColor="text1"/>
        </w:rPr>
        <w:t xml:space="preserve">and </w:t>
      </w:r>
      <w:r w:rsidR="00B01908" w:rsidRPr="00B01908">
        <w:rPr>
          <w:rFonts w:eastAsia="Times New Roman"/>
          <w:color w:val="000000" w:themeColor="text1"/>
        </w:rPr>
        <w:fldChar w:fldCharType="begin"/>
      </w:r>
      <w:r w:rsidR="00B01908" w:rsidRPr="00B01908">
        <w:rPr>
          <w:rFonts w:eastAsia="Times New Roman"/>
          <w:color w:val="000000" w:themeColor="text1"/>
        </w:rPr>
        <w:instrText xml:space="preserve"> REF _Ref210311582 \h  \* MERGEFORMAT </w:instrText>
      </w:r>
      <w:r w:rsidR="00B01908" w:rsidRPr="00B01908">
        <w:rPr>
          <w:rFonts w:eastAsia="Times New Roman"/>
          <w:color w:val="000000" w:themeColor="text1"/>
        </w:rPr>
      </w:r>
      <w:r w:rsidR="00B01908" w:rsidRPr="00B01908">
        <w:rPr>
          <w:rFonts w:eastAsia="Times New Roman"/>
          <w:color w:val="000000" w:themeColor="text1"/>
        </w:rPr>
        <w:fldChar w:fldCharType="separate"/>
      </w:r>
      <w:r w:rsidR="00B01908" w:rsidRPr="00B01908">
        <w:t xml:space="preserve">Figure </w:t>
      </w:r>
      <w:r w:rsidR="00B01908" w:rsidRPr="00B01908">
        <w:rPr>
          <w:noProof/>
        </w:rPr>
        <w:t>12</w:t>
      </w:r>
      <w:r w:rsidR="00B01908" w:rsidRPr="00B01908">
        <w:rPr>
          <w:rFonts w:eastAsia="Times New Roman"/>
          <w:color w:val="000000" w:themeColor="text1"/>
        </w:rPr>
        <w:fldChar w:fldCharType="end"/>
      </w:r>
      <w:r w:rsidR="00B01908">
        <w:rPr>
          <w:rFonts w:eastAsia="Times New Roman"/>
          <w:color w:val="000000" w:themeColor="text1"/>
        </w:rPr>
        <w:t xml:space="preserve">, we </w:t>
      </w:r>
      <w:r w:rsidR="00075DA0">
        <w:rPr>
          <w:rFonts w:eastAsia="Times New Roman"/>
          <w:color w:val="000000" w:themeColor="text1"/>
        </w:rPr>
        <w:t>i</w:t>
      </w:r>
      <w:r w:rsidR="3CD70229" w:rsidRPr="00B91A47">
        <w:rPr>
          <w:rFonts w:eastAsia="Times New Roman"/>
          <w:color w:val="000000" w:themeColor="text1"/>
        </w:rPr>
        <w:t>llustrate</w:t>
      </w:r>
      <w:r w:rsidR="3CD70229" w:rsidRPr="3CD70229">
        <w:rPr>
          <w:rFonts w:eastAsia="Times New Roman"/>
          <w:color w:val="000000" w:themeColor="text1"/>
        </w:rPr>
        <w:t xml:space="preserve"> this principle with a HRC code rate of 0.88 and the low code rate of 0.71. Similarly, </w:t>
      </w:r>
      <w:r w:rsidR="00075DA0" w:rsidRPr="00695895">
        <w:rPr>
          <w:rFonts w:eastAsia="Times New Roman"/>
          <w:color w:val="000000" w:themeColor="text1"/>
        </w:rPr>
        <w:t>in</w:t>
      </w:r>
      <w:r w:rsidR="00695895" w:rsidRPr="00695895">
        <w:rPr>
          <w:rFonts w:eastAsia="Times New Roman"/>
          <w:color w:val="000000" w:themeColor="text1"/>
        </w:rPr>
        <w:t xml:space="preserve"> </w:t>
      </w:r>
      <w:r w:rsidR="00695895" w:rsidRPr="00695895">
        <w:rPr>
          <w:rFonts w:eastAsia="Times New Roman"/>
          <w:color w:val="000000" w:themeColor="text1"/>
        </w:rPr>
        <w:fldChar w:fldCharType="begin"/>
      </w:r>
      <w:r w:rsidR="00695895" w:rsidRPr="00695895">
        <w:rPr>
          <w:rFonts w:eastAsia="Times New Roman"/>
          <w:color w:val="000000" w:themeColor="text1"/>
        </w:rPr>
        <w:instrText xml:space="preserve"> REF _Ref210311601 \h  \* MERGEFORMAT </w:instrText>
      </w:r>
      <w:r w:rsidR="00695895" w:rsidRPr="00695895">
        <w:rPr>
          <w:rFonts w:eastAsia="Times New Roman"/>
          <w:color w:val="000000" w:themeColor="text1"/>
        </w:rPr>
      </w:r>
      <w:r w:rsidR="00695895" w:rsidRPr="00695895">
        <w:rPr>
          <w:rFonts w:eastAsia="Times New Roman"/>
          <w:color w:val="000000" w:themeColor="text1"/>
        </w:rPr>
        <w:fldChar w:fldCharType="separate"/>
      </w:r>
      <w:r w:rsidR="00695895" w:rsidRPr="00695895">
        <w:t xml:space="preserve">Figure </w:t>
      </w:r>
      <w:r w:rsidR="00695895" w:rsidRPr="00695895">
        <w:rPr>
          <w:noProof/>
        </w:rPr>
        <w:t>11</w:t>
      </w:r>
      <w:r w:rsidR="00695895" w:rsidRPr="00695895">
        <w:rPr>
          <w:rFonts w:eastAsia="Times New Roman"/>
          <w:color w:val="000000" w:themeColor="text1"/>
        </w:rPr>
        <w:fldChar w:fldCharType="end"/>
      </w:r>
      <w:r w:rsidR="00695895" w:rsidRPr="00695895">
        <w:rPr>
          <w:rFonts w:eastAsia="Times New Roman"/>
          <w:color w:val="000000" w:themeColor="text1"/>
        </w:rPr>
        <w:t xml:space="preserve"> and </w:t>
      </w:r>
      <w:r w:rsidR="00695895" w:rsidRPr="00695895">
        <w:rPr>
          <w:rFonts w:eastAsia="Times New Roman"/>
          <w:color w:val="000000" w:themeColor="text1"/>
        </w:rPr>
        <w:fldChar w:fldCharType="begin"/>
      </w:r>
      <w:r w:rsidR="00695895" w:rsidRPr="00695895">
        <w:rPr>
          <w:rFonts w:eastAsia="Times New Roman"/>
          <w:color w:val="000000" w:themeColor="text1"/>
        </w:rPr>
        <w:instrText xml:space="preserve"> REF _Ref210311608 \h  \* MERGEFORMAT </w:instrText>
      </w:r>
      <w:r w:rsidR="00695895" w:rsidRPr="00695895">
        <w:rPr>
          <w:rFonts w:eastAsia="Times New Roman"/>
          <w:color w:val="000000" w:themeColor="text1"/>
        </w:rPr>
      </w:r>
      <w:r w:rsidR="00695895" w:rsidRPr="00695895">
        <w:rPr>
          <w:rFonts w:eastAsia="Times New Roman"/>
          <w:color w:val="000000" w:themeColor="text1"/>
        </w:rPr>
        <w:fldChar w:fldCharType="separate"/>
      </w:r>
      <w:r w:rsidR="00695895" w:rsidRPr="00695895">
        <w:t xml:space="preserve">Figure </w:t>
      </w:r>
      <w:r w:rsidR="00695895" w:rsidRPr="00695895">
        <w:rPr>
          <w:noProof/>
        </w:rPr>
        <w:t>13</w:t>
      </w:r>
      <w:r w:rsidR="00695895" w:rsidRPr="00695895">
        <w:rPr>
          <w:rFonts w:eastAsia="Times New Roman"/>
          <w:color w:val="000000" w:themeColor="text1"/>
        </w:rPr>
        <w:fldChar w:fldCharType="end"/>
      </w:r>
      <w:r w:rsidR="00075DA0" w:rsidRPr="00075DA0">
        <w:rPr>
          <w:rFonts w:eastAsia="Times New Roman"/>
          <w:color w:val="000000" w:themeColor="text1"/>
        </w:rPr>
        <w:t xml:space="preserve">, </w:t>
      </w:r>
      <w:r w:rsidR="3CD70229" w:rsidRPr="00075DA0">
        <w:rPr>
          <w:rFonts w:eastAsia="Times New Roman"/>
          <w:color w:val="000000" w:themeColor="text1"/>
        </w:rPr>
        <w:t>we</w:t>
      </w:r>
      <w:r w:rsidR="3CD70229" w:rsidRPr="3CD70229">
        <w:rPr>
          <w:rFonts w:eastAsia="Times New Roman"/>
          <w:color w:val="000000" w:themeColor="text1"/>
        </w:rPr>
        <w:t xml:space="preserve"> see this for a HRC code rate of 0.71 and the low code rate of 0.5. </w:t>
      </w:r>
    </w:p>
    <w:p w14:paraId="39795FCD" w14:textId="77777777" w:rsidR="00FA0E55" w:rsidRDefault="00FA0E55" w:rsidP="00FA0E55">
      <w:pPr>
        <w:pStyle w:val="Caption"/>
        <w:keepNext/>
        <w:jc w:val="left"/>
      </w:pPr>
      <w:r>
        <w:rPr>
          <w:b w:val="0"/>
          <w:bCs w:val="0"/>
          <w:noProof/>
        </w:rPr>
        <w:drawing>
          <wp:inline distT="0" distB="0" distL="0" distR="0" wp14:anchorId="74FE524E" wp14:editId="6263F2C9">
            <wp:extent cx="6120765" cy="3053227"/>
            <wp:effectExtent l="0" t="0" r="635" b="0"/>
            <wp:docPr id="1802619990" name="Picture 9" descr="A graph of a number of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619990" name="Picture 9" descr="A graph of a number of points&#10;&#10;AI-generated content may be incorrect."/>
                    <pic:cNvPicPr/>
                  </pic:nvPicPr>
                  <pic:blipFill rotWithShape="1">
                    <a:blip r:embed="rId17"/>
                    <a:srcRect t="3989"/>
                    <a:stretch>
                      <a:fillRect/>
                    </a:stretch>
                  </pic:blipFill>
                  <pic:spPr bwMode="auto">
                    <a:xfrm>
                      <a:off x="0" y="0"/>
                      <a:ext cx="6120765" cy="3053227"/>
                    </a:xfrm>
                    <a:prstGeom prst="rect">
                      <a:avLst/>
                    </a:prstGeom>
                    <a:ln>
                      <a:noFill/>
                    </a:ln>
                    <a:extLst>
                      <a:ext uri="{53640926-AAD7-44D8-BBD7-CCE9431645EC}">
                        <a14:shadowObscured xmlns:a14="http://schemas.microsoft.com/office/drawing/2010/main"/>
                      </a:ext>
                    </a:extLst>
                  </pic:spPr>
                </pic:pic>
              </a:graphicData>
            </a:graphic>
          </wp:inline>
        </w:drawing>
      </w:r>
    </w:p>
    <w:p w14:paraId="629BE38C" w14:textId="273F44DF" w:rsidR="3CD70229" w:rsidRDefault="00FA0E55" w:rsidP="00FA0E55">
      <w:pPr>
        <w:pStyle w:val="Caption"/>
        <w:rPr>
          <w:b w:val="0"/>
          <w:bCs w:val="0"/>
        </w:rPr>
      </w:pPr>
      <w:bookmarkStart w:id="7" w:name="_Ref210311565"/>
      <w:r w:rsidRPr="00FA0E55">
        <w:rPr>
          <w:b w:val="0"/>
          <w:bCs w:val="0"/>
        </w:rPr>
        <w:t xml:space="preserve">Figure </w:t>
      </w:r>
      <w:r w:rsidRPr="00FA0E55">
        <w:rPr>
          <w:b w:val="0"/>
          <w:bCs w:val="0"/>
        </w:rPr>
        <w:fldChar w:fldCharType="begin"/>
      </w:r>
      <w:r w:rsidRPr="00FA0E55">
        <w:rPr>
          <w:b w:val="0"/>
          <w:bCs w:val="0"/>
        </w:rPr>
        <w:instrText xml:space="preserve"> SEQ Figure \* ARABIC </w:instrText>
      </w:r>
      <w:r w:rsidRPr="00FA0E55">
        <w:rPr>
          <w:b w:val="0"/>
          <w:bCs w:val="0"/>
        </w:rPr>
        <w:fldChar w:fldCharType="separate"/>
      </w:r>
      <w:r w:rsidR="001D4353">
        <w:rPr>
          <w:b w:val="0"/>
          <w:bCs w:val="0"/>
          <w:noProof/>
        </w:rPr>
        <w:t>10</w:t>
      </w:r>
      <w:r w:rsidRPr="00FA0E55">
        <w:rPr>
          <w:b w:val="0"/>
          <w:bCs w:val="0"/>
        </w:rPr>
        <w:fldChar w:fldCharType="end"/>
      </w:r>
      <w:bookmarkEnd w:id="7"/>
      <w:r w:rsidRPr="00FA0E55">
        <w:rPr>
          <w:b w:val="0"/>
          <w:bCs w:val="0"/>
        </w:rPr>
        <w:t>: HRC has a rate of 0.88 and with IRC extensions, the lowest supported code rate is 0.71.</w:t>
      </w:r>
    </w:p>
    <w:p w14:paraId="0B107E2C" w14:textId="77777777" w:rsidR="00A55C61" w:rsidRDefault="00A55C61" w:rsidP="00A55C61">
      <w:pPr>
        <w:keepNext/>
      </w:pPr>
      <w:r>
        <w:rPr>
          <w:noProof/>
        </w:rPr>
        <w:drawing>
          <wp:inline distT="0" distB="0" distL="0" distR="0" wp14:anchorId="67B57D71" wp14:editId="21C07CE1">
            <wp:extent cx="6120765" cy="3185160"/>
            <wp:effectExtent l="0" t="0" r="635" b="2540"/>
            <wp:docPr id="2099243232" name="Picture 10"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243232" name="Picture 10" descr="A graph of a number of numbers&#10;&#10;AI-generated content may be incorrect."/>
                    <pic:cNvPicPr/>
                  </pic:nvPicPr>
                  <pic:blipFill>
                    <a:blip r:embed="rId18"/>
                    <a:stretch>
                      <a:fillRect/>
                    </a:stretch>
                  </pic:blipFill>
                  <pic:spPr>
                    <a:xfrm>
                      <a:off x="0" y="0"/>
                      <a:ext cx="6120765" cy="3185160"/>
                    </a:xfrm>
                    <a:prstGeom prst="rect">
                      <a:avLst/>
                    </a:prstGeom>
                  </pic:spPr>
                </pic:pic>
              </a:graphicData>
            </a:graphic>
          </wp:inline>
        </w:drawing>
      </w:r>
    </w:p>
    <w:p w14:paraId="1F804EA7" w14:textId="08D8BBE4" w:rsidR="00612AED" w:rsidRPr="002B1BBB" w:rsidRDefault="00A55C61" w:rsidP="002B1BBB">
      <w:pPr>
        <w:pStyle w:val="Caption"/>
        <w:rPr>
          <w:b w:val="0"/>
          <w:bCs w:val="0"/>
        </w:rPr>
      </w:pPr>
      <w:bookmarkStart w:id="8" w:name="_Ref210311601"/>
      <w:r w:rsidRPr="00A55C61">
        <w:rPr>
          <w:b w:val="0"/>
          <w:bCs w:val="0"/>
        </w:rPr>
        <w:t xml:space="preserve">Figure </w:t>
      </w:r>
      <w:r w:rsidRPr="00A55C61">
        <w:rPr>
          <w:b w:val="0"/>
          <w:bCs w:val="0"/>
        </w:rPr>
        <w:fldChar w:fldCharType="begin"/>
      </w:r>
      <w:r w:rsidRPr="00A55C61">
        <w:rPr>
          <w:b w:val="0"/>
          <w:bCs w:val="0"/>
        </w:rPr>
        <w:instrText xml:space="preserve"> SEQ Figure \* ARABIC </w:instrText>
      </w:r>
      <w:r w:rsidRPr="00A55C61">
        <w:rPr>
          <w:b w:val="0"/>
          <w:bCs w:val="0"/>
        </w:rPr>
        <w:fldChar w:fldCharType="separate"/>
      </w:r>
      <w:r w:rsidR="001D4353">
        <w:rPr>
          <w:b w:val="0"/>
          <w:bCs w:val="0"/>
          <w:noProof/>
        </w:rPr>
        <w:t>11</w:t>
      </w:r>
      <w:r w:rsidRPr="00A55C61">
        <w:rPr>
          <w:b w:val="0"/>
          <w:bCs w:val="0"/>
        </w:rPr>
        <w:fldChar w:fldCharType="end"/>
      </w:r>
      <w:bookmarkEnd w:id="8"/>
      <w:r w:rsidRPr="00A55C61">
        <w:rPr>
          <w:b w:val="0"/>
          <w:bCs w:val="0"/>
        </w:rPr>
        <w:t>: HRC has a rate of 0.71 and with IRC extensions, the lowest supported code rate is 0.5.</w:t>
      </w:r>
    </w:p>
    <w:p w14:paraId="04E4D6AC" w14:textId="77777777" w:rsidR="004B5B71" w:rsidRDefault="004B5B71" w:rsidP="004B5B71">
      <w:pPr>
        <w:pStyle w:val="Caption"/>
        <w:keepNext/>
        <w:jc w:val="left"/>
      </w:pPr>
      <w:r>
        <w:rPr>
          <w:b w:val="0"/>
          <w:bCs w:val="0"/>
          <w:noProof/>
        </w:rPr>
        <w:lastRenderedPageBreak/>
        <w:drawing>
          <wp:inline distT="0" distB="0" distL="0" distR="0" wp14:anchorId="17C08EAA" wp14:editId="6CE85B14">
            <wp:extent cx="6120765" cy="3069083"/>
            <wp:effectExtent l="0" t="0" r="635" b="4445"/>
            <wp:docPr id="1648326408" name="Picture 1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326408" name="Picture 11" descr="A graph of different colored lines&#10;&#10;AI-generated content may be incorrect."/>
                    <pic:cNvPicPr/>
                  </pic:nvPicPr>
                  <pic:blipFill rotWithShape="1">
                    <a:blip r:embed="rId19"/>
                    <a:srcRect t="3490"/>
                    <a:stretch>
                      <a:fillRect/>
                    </a:stretch>
                  </pic:blipFill>
                  <pic:spPr bwMode="auto">
                    <a:xfrm>
                      <a:off x="0" y="0"/>
                      <a:ext cx="6120765" cy="3069083"/>
                    </a:xfrm>
                    <a:prstGeom prst="rect">
                      <a:avLst/>
                    </a:prstGeom>
                    <a:ln>
                      <a:noFill/>
                    </a:ln>
                    <a:extLst>
                      <a:ext uri="{53640926-AAD7-44D8-BBD7-CCE9431645EC}">
                        <a14:shadowObscured xmlns:a14="http://schemas.microsoft.com/office/drawing/2010/main"/>
                      </a:ext>
                    </a:extLst>
                  </pic:spPr>
                </pic:pic>
              </a:graphicData>
            </a:graphic>
          </wp:inline>
        </w:drawing>
      </w:r>
    </w:p>
    <w:p w14:paraId="4708D029" w14:textId="6F0FE5E7" w:rsidR="004B5B71" w:rsidRDefault="004B5B71" w:rsidP="004B5B71">
      <w:pPr>
        <w:pStyle w:val="Caption"/>
        <w:keepNext/>
      </w:pPr>
      <w:bookmarkStart w:id="9" w:name="_Ref210311582"/>
      <w:r w:rsidRPr="004B5B71">
        <w:rPr>
          <w:b w:val="0"/>
          <w:bCs w:val="0"/>
        </w:rPr>
        <w:t xml:space="preserve">Figure </w:t>
      </w:r>
      <w:r w:rsidRPr="004B5B71">
        <w:rPr>
          <w:b w:val="0"/>
          <w:bCs w:val="0"/>
        </w:rPr>
        <w:fldChar w:fldCharType="begin"/>
      </w:r>
      <w:r w:rsidRPr="004B5B71">
        <w:rPr>
          <w:b w:val="0"/>
          <w:bCs w:val="0"/>
        </w:rPr>
        <w:instrText xml:space="preserve"> SEQ Figure \* ARABIC </w:instrText>
      </w:r>
      <w:r w:rsidRPr="004B5B71">
        <w:rPr>
          <w:b w:val="0"/>
          <w:bCs w:val="0"/>
        </w:rPr>
        <w:fldChar w:fldCharType="separate"/>
      </w:r>
      <w:r w:rsidR="001D4353">
        <w:rPr>
          <w:b w:val="0"/>
          <w:bCs w:val="0"/>
          <w:noProof/>
        </w:rPr>
        <w:t>12</w:t>
      </w:r>
      <w:r w:rsidRPr="004B5B71">
        <w:rPr>
          <w:b w:val="0"/>
          <w:bCs w:val="0"/>
        </w:rPr>
        <w:fldChar w:fldCharType="end"/>
      </w:r>
      <w:bookmarkEnd w:id="9"/>
      <w:r w:rsidRPr="004B5B71">
        <w:rPr>
          <w:b w:val="0"/>
          <w:bCs w:val="0"/>
        </w:rPr>
        <w:t>: SNR Threshold with HRC that has a rate of 0.88 and with IRC extensions the lowest supported code rate is 0.71.</w:t>
      </w:r>
      <w:r>
        <w:rPr>
          <w:b w:val="0"/>
          <w:bCs w:val="0"/>
          <w:noProof/>
        </w:rPr>
        <w:drawing>
          <wp:inline distT="0" distB="0" distL="0" distR="0" wp14:anchorId="39DA86C6" wp14:editId="4C7C1F4F">
            <wp:extent cx="6120765" cy="3180080"/>
            <wp:effectExtent l="0" t="0" r="635" b="0"/>
            <wp:docPr id="397864429" name="Picture 1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64429" name="Picture 12" descr="A graph of different colored lines&#10;&#10;AI-generated content may be incorrect."/>
                    <pic:cNvPicPr/>
                  </pic:nvPicPr>
                  <pic:blipFill>
                    <a:blip r:embed="rId20"/>
                    <a:stretch>
                      <a:fillRect/>
                    </a:stretch>
                  </pic:blipFill>
                  <pic:spPr>
                    <a:xfrm>
                      <a:off x="0" y="0"/>
                      <a:ext cx="6120765" cy="3180080"/>
                    </a:xfrm>
                    <a:prstGeom prst="rect">
                      <a:avLst/>
                    </a:prstGeom>
                  </pic:spPr>
                </pic:pic>
              </a:graphicData>
            </a:graphic>
          </wp:inline>
        </w:drawing>
      </w:r>
    </w:p>
    <w:p w14:paraId="077F87D3" w14:textId="305B75F7" w:rsidR="00612AED" w:rsidRPr="004B5B71" w:rsidRDefault="004B5B71" w:rsidP="004B5B71">
      <w:pPr>
        <w:pStyle w:val="Caption"/>
        <w:rPr>
          <w:b w:val="0"/>
          <w:bCs w:val="0"/>
        </w:rPr>
      </w:pPr>
      <w:bookmarkStart w:id="10" w:name="_Ref210311608"/>
      <w:r w:rsidRPr="004B5B71">
        <w:rPr>
          <w:b w:val="0"/>
          <w:bCs w:val="0"/>
        </w:rPr>
        <w:t xml:space="preserve">Figure </w:t>
      </w:r>
      <w:r w:rsidRPr="004B5B71">
        <w:rPr>
          <w:b w:val="0"/>
          <w:bCs w:val="0"/>
        </w:rPr>
        <w:fldChar w:fldCharType="begin"/>
      </w:r>
      <w:r w:rsidRPr="004B5B71">
        <w:rPr>
          <w:b w:val="0"/>
          <w:bCs w:val="0"/>
        </w:rPr>
        <w:instrText xml:space="preserve"> SEQ Figure \* ARABIC </w:instrText>
      </w:r>
      <w:r w:rsidRPr="004B5B71">
        <w:rPr>
          <w:b w:val="0"/>
          <w:bCs w:val="0"/>
        </w:rPr>
        <w:fldChar w:fldCharType="separate"/>
      </w:r>
      <w:r w:rsidR="001D4353">
        <w:rPr>
          <w:b w:val="0"/>
          <w:bCs w:val="0"/>
          <w:noProof/>
        </w:rPr>
        <w:t>13</w:t>
      </w:r>
      <w:r w:rsidRPr="004B5B71">
        <w:rPr>
          <w:b w:val="0"/>
          <w:bCs w:val="0"/>
        </w:rPr>
        <w:fldChar w:fldCharType="end"/>
      </w:r>
      <w:bookmarkEnd w:id="10"/>
      <w:r w:rsidRPr="004B5B71">
        <w:rPr>
          <w:b w:val="0"/>
          <w:bCs w:val="0"/>
        </w:rPr>
        <w:t>: SNR Threshold with HRC that has a rate of 0.71 and with IRC extensions the lowest supported code rate is 0.5.</w:t>
      </w:r>
    </w:p>
    <w:p w14:paraId="4936366D" w14:textId="2C1F7928" w:rsidR="00A143B5" w:rsidRDefault="00A143B5" w:rsidP="00A143B5">
      <w:pPr>
        <w:keepNext/>
        <w:spacing w:before="240" w:after="240"/>
        <w:jc w:val="both"/>
      </w:pPr>
    </w:p>
    <w:p w14:paraId="601A9A55" w14:textId="2DFAC2D5" w:rsidR="3CD70229" w:rsidRDefault="3CD70229" w:rsidP="3CD70229">
      <w:pPr>
        <w:spacing w:before="240" w:after="240"/>
        <w:jc w:val="both"/>
      </w:pPr>
      <w:r w:rsidRPr="3CD70229">
        <w:rPr>
          <w:rFonts w:eastAsia="Times New Roman"/>
          <w:b/>
          <w:bCs/>
          <w:i/>
          <w:iCs/>
          <w:color w:val="000000" w:themeColor="text1"/>
          <w:u w:val="single"/>
        </w:rPr>
        <w:t>Proposal</w:t>
      </w:r>
      <w:r w:rsidR="002F20B0">
        <w:rPr>
          <w:rFonts w:eastAsia="Times New Roman"/>
          <w:b/>
          <w:bCs/>
          <w:i/>
          <w:iCs/>
          <w:color w:val="000000" w:themeColor="text1"/>
          <w:u w:val="single"/>
        </w:rPr>
        <w:t xml:space="preserve"> </w:t>
      </w:r>
      <w:r w:rsidR="00D10C3F">
        <w:rPr>
          <w:rFonts w:eastAsia="Times New Roman"/>
          <w:b/>
          <w:bCs/>
          <w:i/>
          <w:iCs/>
          <w:color w:val="000000" w:themeColor="text1"/>
          <w:u w:val="single"/>
        </w:rPr>
        <w:t>8</w:t>
      </w:r>
      <w:r w:rsidRPr="3CD70229">
        <w:rPr>
          <w:rFonts w:eastAsia="Times New Roman"/>
          <w:b/>
          <w:bCs/>
          <w:i/>
          <w:iCs/>
          <w:color w:val="000000" w:themeColor="text1"/>
        </w:rPr>
        <w:t>:</w:t>
      </w:r>
      <w:r w:rsidRPr="3CD70229">
        <w:rPr>
          <w:rFonts w:eastAsia="Times New Roman"/>
          <w:i/>
          <w:iCs/>
          <w:color w:val="000000" w:themeColor="text1"/>
        </w:rPr>
        <w:t xml:space="preserve"> </w:t>
      </w:r>
      <w:r w:rsidR="00F172EB" w:rsidRPr="00F172EB">
        <w:rPr>
          <w:rFonts w:eastAsia="Times New Roman"/>
          <w:i/>
          <w:iCs/>
          <w:color w:val="000000" w:themeColor="text1"/>
        </w:rPr>
        <w:t>It is proposed to support high</w:t>
      </w:r>
      <w:r w:rsidR="00F172EB" w:rsidRPr="00F172EB">
        <w:rPr>
          <w:rFonts w:eastAsia="Times New Roman"/>
          <w:i/>
          <w:iCs/>
          <w:color w:val="000000" w:themeColor="text1"/>
        </w:rPr>
        <w:noBreakHyphen/>
        <w:t>throughput use cases by enabling a range of high code rates with the incremental redundancy code, rather than limiting the design to a single code rate.</w:t>
      </w:r>
      <w:r w:rsidRPr="3CD70229">
        <w:rPr>
          <w:rFonts w:eastAsia="Times New Roman"/>
          <w:i/>
          <w:iCs/>
          <w:color w:val="000000" w:themeColor="text1"/>
        </w:rPr>
        <w:t xml:space="preserve"> </w:t>
      </w:r>
    </w:p>
    <w:p w14:paraId="52A85DE9" w14:textId="43C1B992" w:rsidR="3CD70229" w:rsidRPr="00F172EB" w:rsidRDefault="00F172EB" w:rsidP="00E7448C">
      <w:pPr>
        <w:jc w:val="both"/>
      </w:pPr>
      <w:r w:rsidRPr="00F172EB">
        <w:t>There is</w:t>
      </w:r>
      <w:r>
        <w:t xml:space="preserve"> also</w:t>
      </w:r>
      <w:r w:rsidRPr="00F172EB">
        <w:t xml:space="preserve"> considerable interest in increasing the maximum lifting size beyond the current value of 384 supported in 5G NR. By extending the maximum lifting size to 1024, system throughput can potentially be increased by a similar factor, i.e., approximately 1024/384 ≈ 2.67. In addition, larger LDPC codes exhibit steeper BLER curves, resulting in an implicit SNR gain. This gain can further </w:t>
      </w:r>
      <w:r w:rsidRPr="00F172EB">
        <w:lastRenderedPageBreak/>
        <w:t>be traded off to reduce decoding complexity by allowing fewer decoding iterations.</w:t>
      </w:r>
      <w:r>
        <w:t xml:space="preserve"> The impact on hardware complexity can be mitigated by carefully designing decomposable barrel shifters.</w:t>
      </w:r>
    </w:p>
    <w:p w14:paraId="0A279761" w14:textId="77777777" w:rsidR="00AE01FD" w:rsidRDefault="00AE01FD" w:rsidP="3CD70229"/>
    <w:p w14:paraId="3DD3AF6D" w14:textId="77777777" w:rsidR="003E5FFA" w:rsidRDefault="003E5FFA" w:rsidP="003E5FFA">
      <w:pPr>
        <w:keepNext/>
      </w:pPr>
      <w:r>
        <w:rPr>
          <w:noProof/>
        </w:rPr>
        <w:drawing>
          <wp:inline distT="0" distB="0" distL="0" distR="0" wp14:anchorId="73357FFC" wp14:editId="479727BE">
            <wp:extent cx="6120765" cy="3180080"/>
            <wp:effectExtent l="0" t="0" r="635" b="0"/>
            <wp:docPr id="1614389410" name="Picture 1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389410" name="Picture 13" descr="A graph of a graph&#10;&#10;AI-generated content may be incorrect."/>
                    <pic:cNvPicPr/>
                  </pic:nvPicPr>
                  <pic:blipFill>
                    <a:blip r:embed="rId21"/>
                    <a:stretch>
                      <a:fillRect/>
                    </a:stretch>
                  </pic:blipFill>
                  <pic:spPr>
                    <a:xfrm>
                      <a:off x="0" y="0"/>
                      <a:ext cx="6120765" cy="3180080"/>
                    </a:xfrm>
                    <a:prstGeom prst="rect">
                      <a:avLst/>
                    </a:prstGeom>
                  </pic:spPr>
                </pic:pic>
              </a:graphicData>
            </a:graphic>
          </wp:inline>
        </w:drawing>
      </w:r>
    </w:p>
    <w:p w14:paraId="32DF986A" w14:textId="705489A1" w:rsidR="003E5FFA" w:rsidRPr="003E5FFA" w:rsidRDefault="003E5FFA" w:rsidP="003E5FFA">
      <w:pPr>
        <w:pStyle w:val="Caption"/>
        <w:rPr>
          <w:b w:val="0"/>
          <w:bCs w:val="0"/>
        </w:rPr>
      </w:pPr>
      <w:r w:rsidRPr="003E5FFA">
        <w:rPr>
          <w:b w:val="0"/>
          <w:bCs w:val="0"/>
        </w:rPr>
        <w:t xml:space="preserve">Figure </w:t>
      </w:r>
      <w:r w:rsidRPr="003E5FFA">
        <w:rPr>
          <w:b w:val="0"/>
          <w:bCs w:val="0"/>
        </w:rPr>
        <w:fldChar w:fldCharType="begin"/>
      </w:r>
      <w:r w:rsidRPr="003E5FFA">
        <w:rPr>
          <w:b w:val="0"/>
          <w:bCs w:val="0"/>
        </w:rPr>
        <w:instrText xml:space="preserve"> SEQ Figure \* ARABIC </w:instrText>
      </w:r>
      <w:r w:rsidRPr="003E5FFA">
        <w:rPr>
          <w:b w:val="0"/>
          <w:bCs w:val="0"/>
        </w:rPr>
        <w:fldChar w:fldCharType="separate"/>
      </w:r>
      <w:r w:rsidR="001D4353">
        <w:rPr>
          <w:b w:val="0"/>
          <w:bCs w:val="0"/>
          <w:noProof/>
        </w:rPr>
        <w:t>14</w:t>
      </w:r>
      <w:r w:rsidRPr="003E5FFA">
        <w:rPr>
          <w:b w:val="0"/>
          <w:bCs w:val="0"/>
        </w:rPr>
        <w:fldChar w:fldCharType="end"/>
      </w:r>
      <w:r w:rsidRPr="003E5FFA">
        <w:rPr>
          <w:b w:val="0"/>
          <w:bCs w:val="0"/>
        </w:rPr>
        <w:t>: The gain from higher lifting sizes will be on top of the gain obtained from optimizing the base graph</w:t>
      </w:r>
    </w:p>
    <w:p w14:paraId="121A8B23" w14:textId="2FDA4EDF" w:rsidR="3CD70229" w:rsidRDefault="3CD70229" w:rsidP="3CD70229"/>
    <w:p w14:paraId="76887D18" w14:textId="0049A385" w:rsidR="00001E5D" w:rsidRDefault="00AE01FD" w:rsidP="00AE01FD">
      <w:pPr>
        <w:spacing w:before="240" w:after="240"/>
        <w:jc w:val="both"/>
        <w:rPr>
          <w:rFonts w:eastAsia="Times New Roman"/>
          <w:i/>
          <w:iCs/>
          <w:color w:val="000000" w:themeColor="text1"/>
        </w:rPr>
      </w:pPr>
      <w:r w:rsidRPr="3CD70229">
        <w:rPr>
          <w:rFonts w:eastAsia="Times New Roman"/>
          <w:b/>
          <w:bCs/>
          <w:i/>
          <w:iCs/>
          <w:color w:val="000000" w:themeColor="text1"/>
          <w:u w:val="single"/>
        </w:rPr>
        <w:t>Proposal</w:t>
      </w:r>
      <w:r>
        <w:rPr>
          <w:rFonts w:eastAsia="Times New Roman"/>
          <w:b/>
          <w:bCs/>
          <w:i/>
          <w:iCs/>
          <w:color w:val="000000" w:themeColor="text1"/>
          <w:u w:val="single"/>
        </w:rPr>
        <w:t xml:space="preserve"> </w:t>
      </w:r>
      <w:r w:rsidR="00D10C3F">
        <w:rPr>
          <w:rFonts w:eastAsia="Times New Roman"/>
          <w:b/>
          <w:bCs/>
          <w:i/>
          <w:iCs/>
          <w:color w:val="000000" w:themeColor="text1"/>
          <w:u w:val="single"/>
        </w:rPr>
        <w:t>9</w:t>
      </w:r>
      <w:r w:rsidRPr="3CD70229">
        <w:rPr>
          <w:rFonts w:eastAsia="Times New Roman"/>
          <w:b/>
          <w:bCs/>
          <w:i/>
          <w:iCs/>
          <w:color w:val="000000" w:themeColor="text1"/>
        </w:rPr>
        <w:t>:</w:t>
      </w:r>
      <w:r w:rsidRPr="3CD70229">
        <w:rPr>
          <w:rFonts w:eastAsia="Times New Roman"/>
          <w:i/>
          <w:iCs/>
          <w:color w:val="000000" w:themeColor="text1"/>
        </w:rPr>
        <w:t xml:space="preserve"> </w:t>
      </w:r>
      <w:r w:rsidR="00F172EB">
        <w:rPr>
          <w:rFonts w:eastAsia="Times New Roman"/>
          <w:i/>
          <w:iCs/>
          <w:color w:val="000000" w:themeColor="text1"/>
        </w:rPr>
        <w:t>It is proposed</w:t>
      </w:r>
      <w:r w:rsidRPr="3CD70229">
        <w:rPr>
          <w:rFonts w:eastAsia="Times New Roman"/>
          <w:i/>
          <w:iCs/>
          <w:color w:val="000000" w:themeColor="text1"/>
        </w:rPr>
        <w:t xml:space="preserve"> to consider supporting high throughput use cases by </w:t>
      </w:r>
      <w:r w:rsidR="00740017">
        <w:rPr>
          <w:rFonts w:eastAsia="Times New Roman"/>
          <w:i/>
          <w:iCs/>
          <w:color w:val="000000" w:themeColor="text1"/>
        </w:rPr>
        <w:t>increasing the maximum</w:t>
      </w:r>
      <w:r>
        <w:rPr>
          <w:rFonts w:eastAsia="Times New Roman"/>
          <w:i/>
          <w:iCs/>
          <w:color w:val="000000" w:themeColor="text1"/>
        </w:rPr>
        <w:t xml:space="preserve"> lifting size up to 1024. </w:t>
      </w:r>
    </w:p>
    <w:p w14:paraId="7CAB29F7" w14:textId="77777777" w:rsidR="00001E5D" w:rsidRDefault="00001E5D" w:rsidP="00AE01FD">
      <w:pPr>
        <w:spacing w:before="240" w:after="240"/>
        <w:jc w:val="both"/>
        <w:rPr>
          <w:rFonts w:eastAsia="Times New Roman"/>
          <w:i/>
          <w:iCs/>
          <w:color w:val="000000" w:themeColor="text1"/>
        </w:rPr>
      </w:pPr>
    </w:p>
    <w:p w14:paraId="5F02F6F7" w14:textId="4EBBBE0C" w:rsidR="00ED5902" w:rsidRPr="007343C6" w:rsidRDefault="00ED5902" w:rsidP="00ED5902">
      <w:pPr>
        <w:pStyle w:val="Heading3"/>
      </w:pPr>
      <w:r>
        <w:t>Low Power LDPC Codes</w:t>
      </w:r>
    </w:p>
    <w:p w14:paraId="334456C3" w14:textId="77777777" w:rsidR="00DD0CAB" w:rsidRDefault="0033730F" w:rsidP="0033730F">
      <w:pPr>
        <w:autoSpaceDE w:val="0"/>
        <w:autoSpaceDN w:val="0"/>
        <w:adjustRightInd w:val="0"/>
        <w:jc w:val="both"/>
        <w:rPr>
          <w:color w:val="000000"/>
        </w:rPr>
      </w:pPr>
      <w:r>
        <w:rPr>
          <w:color w:val="000000"/>
        </w:rPr>
        <w:t>Another interesting use case in 6G is the low power mode to support Internet-of-things (IoT) devices, wearables, and increase the energy efficiency of devices. This motivates us to design LDPC codes that are optimized for small base graphs, achieves low BLER at a relatively small number of iterations, that operate at low rates.</w:t>
      </w:r>
    </w:p>
    <w:p w14:paraId="71690BC9" w14:textId="77777777" w:rsidR="00DD0CAB" w:rsidRDefault="00DD0CAB" w:rsidP="0033730F">
      <w:pPr>
        <w:autoSpaceDE w:val="0"/>
        <w:autoSpaceDN w:val="0"/>
        <w:adjustRightInd w:val="0"/>
        <w:jc w:val="both"/>
        <w:rPr>
          <w:color w:val="000000"/>
        </w:rPr>
      </w:pPr>
    </w:p>
    <w:p w14:paraId="6F28D1B7" w14:textId="77777777" w:rsidR="00CF4FAD" w:rsidRDefault="00DD0CAB" w:rsidP="0033730F">
      <w:pPr>
        <w:autoSpaceDE w:val="0"/>
        <w:autoSpaceDN w:val="0"/>
        <w:adjustRightInd w:val="0"/>
        <w:jc w:val="both"/>
        <w:rPr>
          <w:color w:val="000000"/>
        </w:rPr>
      </w:pPr>
      <w:r>
        <w:rPr>
          <w:color w:val="000000"/>
        </w:rPr>
        <w:t xml:space="preserve">One issue with </w:t>
      </w:r>
      <w:r w:rsidR="00B52F99">
        <w:rPr>
          <w:color w:val="000000"/>
        </w:rPr>
        <w:t>5G NR LDPC codes for low code rates is that the</w:t>
      </w:r>
      <w:r w:rsidR="0030466D">
        <w:rPr>
          <w:color w:val="000000"/>
        </w:rPr>
        <w:t xml:space="preserve"> base graph sizes at these rates are very large. For example, at a code rate of 0.2, the supported base graph size is 42x52. </w:t>
      </w:r>
      <w:r w:rsidR="0038064E">
        <w:rPr>
          <w:color w:val="000000"/>
        </w:rPr>
        <w:t xml:space="preserve">We can obtain significant energy savings if we can compress the base graph and be able to transmit the same number of information bits with the same total BLER. </w:t>
      </w:r>
    </w:p>
    <w:p w14:paraId="4D352E6A" w14:textId="77777777" w:rsidR="00CF4FAD" w:rsidRDefault="00CF4FAD" w:rsidP="0033730F">
      <w:pPr>
        <w:autoSpaceDE w:val="0"/>
        <w:autoSpaceDN w:val="0"/>
        <w:adjustRightInd w:val="0"/>
        <w:jc w:val="both"/>
        <w:rPr>
          <w:color w:val="000000"/>
        </w:rPr>
      </w:pPr>
    </w:p>
    <w:p w14:paraId="13B5D3AB" w14:textId="25C9004E" w:rsidR="00EE1779" w:rsidRDefault="00CF4FAD" w:rsidP="0033730F">
      <w:pPr>
        <w:autoSpaceDE w:val="0"/>
        <w:autoSpaceDN w:val="0"/>
        <w:adjustRightInd w:val="0"/>
        <w:jc w:val="both"/>
        <w:rPr>
          <w:color w:val="000000"/>
        </w:rPr>
      </w:pPr>
      <w:r w:rsidRPr="00CF4FAD">
        <w:rPr>
          <w:color w:val="000000"/>
        </w:rPr>
        <w:t>In</w:t>
      </w:r>
      <w:r w:rsidR="00F172EB">
        <w:rPr>
          <w:color w:val="000000"/>
        </w:rPr>
        <w:t xml:space="preserve"> </w:t>
      </w:r>
      <w:r w:rsidR="00F172EB">
        <w:rPr>
          <w:color w:val="000000"/>
        </w:rPr>
        <w:fldChar w:fldCharType="begin"/>
      </w:r>
      <w:r w:rsidR="00F172EB">
        <w:rPr>
          <w:color w:val="000000"/>
        </w:rPr>
        <w:instrText xml:space="preserve"> REF _Ref210317442 \h </w:instrText>
      </w:r>
      <w:r w:rsidR="00F172EB">
        <w:rPr>
          <w:color w:val="000000"/>
        </w:rPr>
      </w:r>
      <w:r w:rsidR="00F172EB">
        <w:rPr>
          <w:color w:val="000000"/>
        </w:rPr>
        <w:fldChar w:fldCharType="separate"/>
      </w:r>
      <w:r w:rsidR="00F172EB" w:rsidRPr="00612C03">
        <w:t xml:space="preserve">Figure </w:t>
      </w:r>
      <w:r w:rsidR="00F172EB">
        <w:rPr>
          <w:noProof/>
        </w:rPr>
        <w:t>15</w:t>
      </w:r>
      <w:r w:rsidR="00F172EB">
        <w:rPr>
          <w:color w:val="000000"/>
        </w:rPr>
        <w:fldChar w:fldCharType="end"/>
      </w:r>
      <w:r w:rsidR="002A092F" w:rsidRPr="002A092F">
        <w:rPr>
          <w:color w:val="000000"/>
        </w:rPr>
        <w:t>,</w:t>
      </w:r>
      <w:r w:rsidR="002A092F">
        <w:rPr>
          <w:color w:val="000000"/>
        </w:rPr>
        <w:t xml:space="preserve"> we </w:t>
      </w:r>
      <w:r>
        <w:rPr>
          <w:color w:val="000000"/>
        </w:rPr>
        <w:t xml:space="preserve">show the performance of the small base graphs compared to 5G NR. When we compress the base graph 5x times, we see some SNR loss at </w:t>
      </w:r>
      <w:r w:rsidR="00F172EB">
        <w:rPr>
          <w:color w:val="000000"/>
        </w:rPr>
        <w:t>1%</w:t>
      </w:r>
      <w:r>
        <w:rPr>
          <w:color w:val="000000"/>
        </w:rPr>
        <w:t xml:space="preserve"> BLER</w:t>
      </w:r>
      <w:r w:rsidR="00216C19">
        <w:rPr>
          <w:color w:val="000000"/>
        </w:rPr>
        <w:t xml:space="preserve">, but further optimizations can close this gap. </w:t>
      </w:r>
    </w:p>
    <w:p w14:paraId="4CA4EFA8" w14:textId="36613BED" w:rsidR="0033730F" w:rsidRDefault="0033730F" w:rsidP="0033730F">
      <w:pPr>
        <w:autoSpaceDE w:val="0"/>
        <w:autoSpaceDN w:val="0"/>
        <w:adjustRightInd w:val="0"/>
        <w:jc w:val="both"/>
        <w:rPr>
          <w:i/>
          <w:iCs/>
          <w:color w:val="000000"/>
        </w:rPr>
      </w:pPr>
    </w:p>
    <w:p w14:paraId="6A88A455" w14:textId="77777777" w:rsidR="00612C03" w:rsidRDefault="00612C03" w:rsidP="0033730F">
      <w:pPr>
        <w:autoSpaceDE w:val="0"/>
        <w:autoSpaceDN w:val="0"/>
        <w:adjustRightInd w:val="0"/>
        <w:jc w:val="both"/>
        <w:rPr>
          <w:i/>
          <w:iCs/>
          <w:color w:val="000000"/>
        </w:rPr>
      </w:pPr>
    </w:p>
    <w:p w14:paraId="2395D530" w14:textId="77777777" w:rsidR="00612C03" w:rsidRDefault="00612C03" w:rsidP="0033730F">
      <w:pPr>
        <w:autoSpaceDE w:val="0"/>
        <w:autoSpaceDN w:val="0"/>
        <w:adjustRightInd w:val="0"/>
        <w:jc w:val="both"/>
        <w:rPr>
          <w:i/>
          <w:iCs/>
          <w:color w:val="000000"/>
        </w:rPr>
      </w:pPr>
    </w:p>
    <w:p w14:paraId="019AE0E1" w14:textId="77777777" w:rsidR="00612C03" w:rsidRDefault="00612C03" w:rsidP="00612C03">
      <w:pPr>
        <w:keepNext/>
        <w:autoSpaceDE w:val="0"/>
        <w:autoSpaceDN w:val="0"/>
        <w:adjustRightInd w:val="0"/>
        <w:jc w:val="both"/>
      </w:pPr>
      <w:r>
        <w:rPr>
          <w:i/>
          <w:iCs/>
          <w:noProof/>
          <w:color w:val="000000"/>
        </w:rPr>
        <w:lastRenderedPageBreak/>
        <w:drawing>
          <wp:inline distT="0" distB="0" distL="0" distR="0" wp14:anchorId="608D0A96" wp14:editId="282CF6D4">
            <wp:extent cx="6120765" cy="3180080"/>
            <wp:effectExtent l="0" t="0" r="635" b="0"/>
            <wp:docPr id="1407364345" name="Picture 1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64345" name="Picture 13" descr="A graph of different colored lines&#10;&#10;AI-generated content may be incorrect."/>
                    <pic:cNvPicPr/>
                  </pic:nvPicPr>
                  <pic:blipFill>
                    <a:blip r:embed="rId22"/>
                    <a:stretch>
                      <a:fillRect/>
                    </a:stretch>
                  </pic:blipFill>
                  <pic:spPr>
                    <a:xfrm>
                      <a:off x="0" y="0"/>
                      <a:ext cx="6120765" cy="3180080"/>
                    </a:xfrm>
                    <a:prstGeom prst="rect">
                      <a:avLst/>
                    </a:prstGeom>
                  </pic:spPr>
                </pic:pic>
              </a:graphicData>
            </a:graphic>
          </wp:inline>
        </w:drawing>
      </w:r>
    </w:p>
    <w:p w14:paraId="6290CC5D" w14:textId="6E3D0149" w:rsidR="00612C03" w:rsidRPr="00612C03" w:rsidRDefault="00612C03" w:rsidP="00612C03">
      <w:pPr>
        <w:pStyle w:val="Caption"/>
        <w:rPr>
          <w:b w:val="0"/>
          <w:bCs w:val="0"/>
          <w:i/>
          <w:iCs/>
          <w:color w:val="000000"/>
        </w:rPr>
      </w:pPr>
      <w:bookmarkStart w:id="11" w:name="_Ref210317442"/>
      <w:r w:rsidRPr="00612C03">
        <w:rPr>
          <w:b w:val="0"/>
          <w:bCs w:val="0"/>
        </w:rPr>
        <w:t xml:space="preserve">Figure </w:t>
      </w:r>
      <w:r w:rsidRPr="00612C03">
        <w:rPr>
          <w:b w:val="0"/>
          <w:bCs w:val="0"/>
        </w:rPr>
        <w:fldChar w:fldCharType="begin"/>
      </w:r>
      <w:r w:rsidRPr="00612C03">
        <w:rPr>
          <w:b w:val="0"/>
          <w:bCs w:val="0"/>
        </w:rPr>
        <w:instrText xml:space="preserve"> SEQ Figure \* ARABIC </w:instrText>
      </w:r>
      <w:r w:rsidRPr="00612C03">
        <w:rPr>
          <w:b w:val="0"/>
          <w:bCs w:val="0"/>
        </w:rPr>
        <w:fldChar w:fldCharType="separate"/>
      </w:r>
      <w:r w:rsidR="001D4353">
        <w:rPr>
          <w:b w:val="0"/>
          <w:bCs w:val="0"/>
          <w:noProof/>
        </w:rPr>
        <w:t>15</w:t>
      </w:r>
      <w:r w:rsidRPr="00612C03">
        <w:rPr>
          <w:b w:val="0"/>
          <w:bCs w:val="0"/>
        </w:rPr>
        <w:fldChar w:fldCharType="end"/>
      </w:r>
      <w:bookmarkEnd w:id="11"/>
      <w:r w:rsidRPr="00612C03">
        <w:rPr>
          <w:b w:val="0"/>
          <w:bCs w:val="0"/>
        </w:rPr>
        <w:t>: Performance comparison with small base graphs compared to 5G NR.</w:t>
      </w:r>
    </w:p>
    <w:p w14:paraId="2680C2E1" w14:textId="77777777" w:rsidR="00870A8D" w:rsidRDefault="00870A8D" w:rsidP="00AE01FD">
      <w:pPr>
        <w:spacing w:before="240" w:after="240"/>
        <w:jc w:val="both"/>
      </w:pPr>
    </w:p>
    <w:p w14:paraId="6DC440B3" w14:textId="5431F9D7" w:rsidR="00870A8D" w:rsidRPr="00F172EB" w:rsidRDefault="00870A8D" w:rsidP="00870A8D">
      <w:pPr>
        <w:spacing w:before="240" w:after="240"/>
        <w:jc w:val="both"/>
        <w:rPr>
          <w:rFonts w:eastAsia="Times New Roman"/>
          <w:i/>
          <w:iCs/>
          <w:color w:val="000000" w:themeColor="text1"/>
        </w:rPr>
      </w:pPr>
      <w:r w:rsidRPr="3CD70229">
        <w:rPr>
          <w:rFonts w:eastAsia="Times New Roman"/>
          <w:b/>
          <w:bCs/>
          <w:i/>
          <w:iCs/>
          <w:color w:val="000000" w:themeColor="text1"/>
          <w:u w:val="single"/>
        </w:rPr>
        <w:t>Proposal</w:t>
      </w:r>
      <w:r>
        <w:rPr>
          <w:rFonts w:eastAsia="Times New Roman"/>
          <w:b/>
          <w:bCs/>
          <w:i/>
          <w:iCs/>
          <w:color w:val="000000" w:themeColor="text1"/>
          <w:u w:val="single"/>
        </w:rPr>
        <w:t xml:space="preserve"> </w:t>
      </w:r>
      <w:r w:rsidR="00DA0CCD">
        <w:rPr>
          <w:rFonts w:eastAsia="Times New Roman"/>
          <w:b/>
          <w:bCs/>
          <w:i/>
          <w:iCs/>
          <w:color w:val="000000" w:themeColor="text1"/>
          <w:u w:val="single"/>
        </w:rPr>
        <w:t>10</w:t>
      </w:r>
      <w:r w:rsidRPr="3CD70229">
        <w:rPr>
          <w:rFonts w:eastAsia="Times New Roman"/>
          <w:b/>
          <w:bCs/>
          <w:i/>
          <w:iCs/>
          <w:color w:val="000000" w:themeColor="text1"/>
        </w:rPr>
        <w:t>:</w:t>
      </w:r>
      <w:r w:rsidRPr="3CD70229">
        <w:rPr>
          <w:rFonts w:eastAsia="Times New Roman"/>
          <w:i/>
          <w:iCs/>
          <w:color w:val="000000" w:themeColor="text1"/>
        </w:rPr>
        <w:t xml:space="preserve"> </w:t>
      </w:r>
      <w:r w:rsidR="00F172EB">
        <w:rPr>
          <w:rFonts w:eastAsia="Times New Roman"/>
          <w:i/>
          <w:iCs/>
          <w:color w:val="000000" w:themeColor="text1"/>
        </w:rPr>
        <w:t>It is proposed</w:t>
      </w:r>
      <w:r w:rsidRPr="3CD70229">
        <w:rPr>
          <w:rFonts w:eastAsia="Times New Roman"/>
          <w:i/>
          <w:iCs/>
          <w:color w:val="000000" w:themeColor="text1"/>
        </w:rPr>
        <w:t xml:space="preserve"> to </w:t>
      </w:r>
      <w:r w:rsidR="00F172EB" w:rsidRPr="00F172EB">
        <w:rPr>
          <w:rFonts w:eastAsia="Times New Roman"/>
          <w:i/>
          <w:iCs/>
          <w:color w:val="000000" w:themeColor="text1"/>
        </w:rPr>
        <w:t xml:space="preserve">support new base graph designs with </w:t>
      </w:r>
      <w:r w:rsidR="00836F9E">
        <w:rPr>
          <w:rFonts w:eastAsia="Times New Roman"/>
          <w:i/>
          <w:iCs/>
          <w:color w:val="000000" w:themeColor="text1"/>
        </w:rPr>
        <w:t>compact</w:t>
      </w:r>
      <w:r w:rsidR="00F172EB" w:rsidRPr="00F172EB">
        <w:rPr>
          <w:rFonts w:eastAsia="Times New Roman"/>
          <w:i/>
          <w:iCs/>
          <w:color w:val="000000" w:themeColor="text1"/>
        </w:rPr>
        <w:t xml:space="preserve"> sizes to better address low</w:t>
      </w:r>
      <w:r w:rsidR="00F172EB" w:rsidRPr="00F172EB">
        <w:rPr>
          <w:rFonts w:eastAsia="Times New Roman"/>
          <w:i/>
          <w:iCs/>
          <w:color w:val="000000" w:themeColor="text1"/>
        </w:rPr>
        <w:noBreakHyphen/>
        <w:t>power use cases.</w:t>
      </w:r>
    </w:p>
    <w:p w14:paraId="47FF8F03" w14:textId="77777777" w:rsidR="0054669E" w:rsidRDefault="0054669E" w:rsidP="0054669E">
      <w:pPr>
        <w:pStyle w:val="Heading3"/>
        <w:numPr>
          <w:ilvl w:val="0"/>
          <w:numId w:val="0"/>
        </w:numPr>
      </w:pPr>
    </w:p>
    <w:p w14:paraId="755184A3" w14:textId="75047B6A" w:rsidR="0054669E" w:rsidRPr="007343C6" w:rsidRDefault="0054669E" w:rsidP="0054669E">
      <w:pPr>
        <w:pStyle w:val="Heading3"/>
      </w:pPr>
      <w:r>
        <w:t>Packet-Level Coding</w:t>
      </w:r>
    </w:p>
    <w:p w14:paraId="6AA7648F" w14:textId="77777777" w:rsidR="004A1E52" w:rsidRDefault="004A1E52" w:rsidP="000827D7">
      <w:pPr>
        <w:rPr>
          <w:sz w:val="36"/>
          <w:szCs w:val="36"/>
        </w:rPr>
      </w:pPr>
    </w:p>
    <w:p w14:paraId="247B8F18" w14:textId="77777777" w:rsidR="004D1D74" w:rsidRDefault="004D1D74" w:rsidP="004D1D74">
      <w:pPr>
        <w:keepNext/>
      </w:pPr>
      <w:r w:rsidRPr="004D1D74">
        <w:rPr>
          <w:noProof/>
          <w:sz w:val="36"/>
          <w:szCs w:val="36"/>
        </w:rPr>
        <w:drawing>
          <wp:inline distT="0" distB="0" distL="0" distR="0" wp14:anchorId="007B2F61" wp14:editId="223378DB">
            <wp:extent cx="6120765" cy="1655445"/>
            <wp:effectExtent l="0" t="0" r="635" b="0"/>
            <wp:docPr id="155635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58394" name=""/>
                    <pic:cNvPicPr/>
                  </pic:nvPicPr>
                  <pic:blipFill>
                    <a:blip r:embed="rId23"/>
                    <a:stretch>
                      <a:fillRect/>
                    </a:stretch>
                  </pic:blipFill>
                  <pic:spPr>
                    <a:xfrm>
                      <a:off x="0" y="0"/>
                      <a:ext cx="6120765" cy="1655445"/>
                    </a:xfrm>
                    <a:prstGeom prst="rect">
                      <a:avLst/>
                    </a:prstGeom>
                  </pic:spPr>
                </pic:pic>
              </a:graphicData>
            </a:graphic>
          </wp:inline>
        </w:drawing>
      </w:r>
    </w:p>
    <w:p w14:paraId="7532B0D2" w14:textId="2D78B208" w:rsidR="004D1D74" w:rsidRPr="004D1D74" w:rsidRDefault="004D1D74" w:rsidP="004D1D74">
      <w:pPr>
        <w:pStyle w:val="Caption"/>
        <w:rPr>
          <w:b w:val="0"/>
          <w:bCs w:val="0"/>
          <w:sz w:val="36"/>
          <w:szCs w:val="36"/>
        </w:rPr>
      </w:pPr>
      <w:r w:rsidRPr="004D1D74">
        <w:rPr>
          <w:b w:val="0"/>
          <w:bCs w:val="0"/>
        </w:rPr>
        <w:t xml:space="preserve">Figure </w:t>
      </w:r>
      <w:r w:rsidRPr="004D1D74">
        <w:rPr>
          <w:b w:val="0"/>
          <w:bCs w:val="0"/>
        </w:rPr>
        <w:fldChar w:fldCharType="begin"/>
      </w:r>
      <w:r w:rsidRPr="004D1D74">
        <w:rPr>
          <w:b w:val="0"/>
          <w:bCs w:val="0"/>
        </w:rPr>
        <w:instrText xml:space="preserve"> SEQ Figure \* ARABIC </w:instrText>
      </w:r>
      <w:r w:rsidRPr="004D1D74">
        <w:rPr>
          <w:b w:val="0"/>
          <w:bCs w:val="0"/>
        </w:rPr>
        <w:fldChar w:fldCharType="separate"/>
      </w:r>
      <w:r w:rsidR="001D4353">
        <w:rPr>
          <w:b w:val="0"/>
          <w:bCs w:val="0"/>
          <w:noProof/>
        </w:rPr>
        <w:t>16</w:t>
      </w:r>
      <w:r w:rsidRPr="004D1D74">
        <w:rPr>
          <w:b w:val="0"/>
          <w:bCs w:val="0"/>
        </w:rPr>
        <w:fldChar w:fldCharType="end"/>
      </w:r>
      <w:r w:rsidRPr="004D1D74">
        <w:rPr>
          <w:b w:val="0"/>
          <w:bCs w:val="0"/>
        </w:rPr>
        <w:t>: Coding scheme depicting the joint coding of blocks</w:t>
      </w:r>
    </w:p>
    <w:p w14:paraId="52F650FD" w14:textId="77777777" w:rsidR="004D1D74" w:rsidRDefault="004D1D74" w:rsidP="000827D7">
      <w:pPr>
        <w:rPr>
          <w:sz w:val="36"/>
          <w:szCs w:val="36"/>
        </w:rPr>
      </w:pPr>
    </w:p>
    <w:p w14:paraId="14D14758" w14:textId="1F5093DB" w:rsidR="00FB6A6E" w:rsidRDefault="0071761E" w:rsidP="0071761E">
      <w:pPr>
        <w:jc w:val="both"/>
      </w:pPr>
      <w:r w:rsidRPr="00DE2C0D">
        <w:t xml:space="preserve">In NR, different code blocks are coded independently and thus there is no coding gain to exploit by decoding them jointly. </w:t>
      </w:r>
      <w:r w:rsidR="00FB6A6E">
        <w:t>When one or more packets fail, the receiver</w:t>
      </w:r>
      <w:r w:rsidRPr="00DE2C0D">
        <w:t xml:space="preserve"> </w:t>
      </w:r>
      <w:r w:rsidR="00FB6A6E">
        <w:t xml:space="preserve">can </w:t>
      </w:r>
      <w:r w:rsidRPr="00DE2C0D">
        <w:t xml:space="preserve">jointly process these code blocks </w:t>
      </w:r>
      <w:r w:rsidR="00FB6A6E">
        <w:t>and</w:t>
      </w:r>
      <w:r w:rsidRPr="00DE2C0D">
        <w:t xml:space="preserve"> exploit redundancy spread across different code blocks and </w:t>
      </w:r>
      <w:r w:rsidR="00FB6A6E">
        <w:t xml:space="preserve">thus </w:t>
      </w:r>
      <w:r w:rsidRPr="00DE2C0D">
        <w:t xml:space="preserve">improve error correction performance. This reduces the retransmission rate of the code block groups and higher spectral efficiency. </w:t>
      </w:r>
    </w:p>
    <w:p w14:paraId="1DD37E83" w14:textId="77777777" w:rsidR="00FB6A6E" w:rsidRDefault="00FB6A6E" w:rsidP="0071761E">
      <w:pPr>
        <w:jc w:val="both"/>
      </w:pPr>
    </w:p>
    <w:p w14:paraId="6C2B1DD2" w14:textId="07E1AD2E" w:rsidR="0071761E" w:rsidRDefault="000D3C6E" w:rsidP="0071761E">
      <w:pPr>
        <w:jc w:val="both"/>
        <w:rPr>
          <w:i/>
          <w:iCs/>
        </w:rPr>
      </w:pPr>
      <w:r>
        <w:t>The joint parity is computed with information across code blocks</w:t>
      </w:r>
      <w:r w:rsidR="0071761E" w:rsidRPr="00DE2C0D">
        <w:t xml:space="preserve">. </w:t>
      </w:r>
      <w:r>
        <w:t xml:space="preserve">This joint parity need NOT be a separate code block but instead be part of the existing blocks. This parity is only utilized when one or more code blocks fail to decode. </w:t>
      </w:r>
    </w:p>
    <w:p w14:paraId="4D23FF18" w14:textId="77777777" w:rsidR="0071761E" w:rsidRDefault="0071761E" w:rsidP="0071761E">
      <w:pPr>
        <w:jc w:val="both"/>
        <w:rPr>
          <w:color w:val="000000"/>
        </w:rPr>
      </w:pPr>
    </w:p>
    <w:p w14:paraId="78FE14A8" w14:textId="69514931" w:rsidR="0071761E" w:rsidRPr="00DE2C0D" w:rsidRDefault="0071761E" w:rsidP="0071761E">
      <w:pPr>
        <w:jc w:val="both"/>
        <w:rPr>
          <w:color w:val="000000"/>
        </w:rPr>
      </w:pPr>
      <w:r w:rsidRPr="00B37E4E">
        <w:rPr>
          <w:b/>
          <w:bCs/>
          <w:i/>
          <w:iCs/>
          <w:u w:val="single"/>
        </w:rPr>
        <w:t>Proposal</w:t>
      </w:r>
      <w:r w:rsidR="005314F2">
        <w:rPr>
          <w:b/>
          <w:bCs/>
          <w:i/>
          <w:iCs/>
          <w:u w:val="single"/>
        </w:rPr>
        <w:t xml:space="preserve"> </w:t>
      </w:r>
      <w:r w:rsidR="00DA0CCD">
        <w:rPr>
          <w:b/>
          <w:bCs/>
          <w:i/>
          <w:iCs/>
          <w:u w:val="single"/>
        </w:rPr>
        <w:t>11</w:t>
      </w:r>
      <w:r w:rsidRPr="00B37E4E">
        <w:rPr>
          <w:b/>
          <w:bCs/>
          <w:i/>
          <w:iCs/>
        </w:rPr>
        <w:t>:</w:t>
      </w:r>
      <w:r w:rsidRPr="00B37E4E">
        <w:rPr>
          <w:i/>
          <w:iCs/>
        </w:rPr>
        <w:t xml:space="preserve"> </w:t>
      </w:r>
      <w:r w:rsidR="00836F9E">
        <w:rPr>
          <w:i/>
          <w:iCs/>
        </w:rPr>
        <w:t>It is proposed</w:t>
      </w:r>
      <w:r>
        <w:rPr>
          <w:i/>
          <w:iCs/>
        </w:rPr>
        <w:t xml:space="preserve"> to consider </w:t>
      </w:r>
      <w:r w:rsidRPr="00DE2C0D">
        <w:rPr>
          <w:i/>
          <w:iCs/>
        </w:rPr>
        <w:t>packet level coding of code blocks to improve</w:t>
      </w:r>
      <w:r w:rsidR="003D2957">
        <w:rPr>
          <w:i/>
          <w:iCs/>
        </w:rPr>
        <w:t xml:space="preserve"> both</w:t>
      </w:r>
      <w:r w:rsidRPr="00DE2C0D">
        <w:rPr>
          <w:i/>
          <w:iCs/>
        </w:rPr>
        <w:t xml:space="preserve"> retransmission rate and spectral efficiency.</w:t>
      </w:r>
    </w:p>
    <w:p w14:paraId="32041E4B" w14:textId="77777777" w:rsidR="004D1D74" w:rsidRDefault="004D1D74" w:rsidP="000827D7">
      <w:pPr>
        <w:rPr>
          <w:sz w:val="36"/>
          <w:szCs w:val="36"/>
        </w:rPr>
      </w:pPr>
    </w:p>
    <w:p w14:paraId="269B84B4" w14:textId="77777777" w:rsidR="000827D7" w:rsidRDefault="000827D7" w:rsidP="000827D7">
      <w:pPr>
        <w:pStyle w:val="Heading1"/>
      </w:pPr>
      <w:r>
        <w:t>Evaluation assumption</w:t>
      </w:r>
    </w:p>
    <w:p w14:paraId="18F96828" w14:textId="77777777" w:rsidR="000827D7" w:rsidRDefault="000827D7" w:rsidP="000827D7">
      <w:pPr>
        <w:jc w:val="both"/>
        <w:rPr>
          <w:bCs/>
          <w:color w:val="000000" w:themeColor="text1"/>
        </w:rPr>
      </w:pPr>
    </w:p>
    <w:p w14:paraId="04CFA56F" w14:textId="77777777" w:rsidR="00B71189" w:rsidRDefault="00B71189" w:rsidP="00B71189">
      <w:pPr>
        <w:jc w:val="both"/>
        <w:rPr>
          <w:bCs/>
          <w:color w:val="000000" w:themeColor="text1"/>
        </w:rPr>
      </w:pPr>
      <w:r w:rsidRPr="00955A54">
        <w:rPr>
          <w:bCs/>
          <w:color w:val="000000" w:themeColor="text1"/>
        </w:rPr>
        <w:t>The evaluation assumptions for 6G channel coding and requirements need to be clearly defined. As a starting point, the assumptions used in 5G are taken as the baseline. Considering new 6G use cases, it is reasonable to extend these assumptions to support higher peak data rates, larger information block lengths, and larger DCI and UCI payload sizes for control channels, at least for the purpose of evaluation until final requirements are established. It is also appropriate to expand the evaluation space for control channels to include higher-order modulation schemes such as 16QAM and 64QAM, in addition to QPSK.</w:t>
      </w:r>
    </w:p>
    <w:p w14:paraId="2D0A54E3" w14:textId="77777777" w:rsidR="00B71189" w:rsidRPr="00955A54" w:rsidRDefault="00B71189" w:rsidP="00B71189">
      <w:pPr>
        <w:jc w:val="both"/>
        <w:rPr>
          <w:bCs/>
          <w:color w:val="000000" w:themeColor="text1"/>
        </w:rPr>
      </w:pPr>
    </w:p>
    <w:p w14:paraId="00675FD6" w14:textId="31716DCE" w:rsidR="00B71189" w:rsidRDefault="00B71189" w:rsidP="00B71189">
      <w:pPr>
        <w:jc w:val="both"/>
        <w:rPr>
          <w:bCs/>
          <w:color w:val="000000" w:themeColor="text1"/>
        </w:rPr>
      </w:pPr>
      <w:r w:rsidRPr="00955A54">
        <w:rPr>
          <w:bCs/>
          <w:color w:val="000000" w:themeColor="text1"/>
        </w:rPr>
        <w:t xml:space="preserve">For polar codes, a CRC-aided SCL decoder with list size </w:t>
      </w:r>
      <m:oMath>
        <m:r>
          <w:rPr>
            <w:rFonts w:ascii="Cambria Math" w:hAnsi="Cambria Math"/>
            <w:color w:val="000000" w:themeColor="text1"/>
          </w:rPr>
          <m:t>L=8</m:t>
        </m:r>
      </m:oMath>
      <w:r w:rsidRPr="00955A54">
        <w:rPr>
          <w:bCs/>
          <w:color w:val="000000" w:themeColor="text1"/>
        </w:rPr>
        <w:t xml:space="preserve"> is considered a reasonable baseline. It is further proposed that additional decoder features such as CRC-aided early termination and path-metric–based list-size adjustment be incorporated into the evaluation setup. Monitoring path metrics during list decoding is of particular importance, as this mechanism can substantially relax the requirements on FAR by allowing most invalid candidates to be pruned before reaching the CRC check stage.</w:t>
      </w:r>
    </w:p>
    <w:p w14:paraId="00F4C005" w14:textId="77777777" w:rsidR="00B71189" w:rsidRPr="00955A54" w:rsidRDefault="00B71189" w:rsidP="00B71189">
      <w:pPr>
        <w:jc w:val="both"/>
        <w:rPr>
          <w:bCs/>
          <w:color w:val="000000" w:themeColor="text1"/>
        </w:rPr>
      </w:pPr>
    </w:p>
    <w:p w14:paraId="1ED2631D" w14:textId="77777777" w:rsidR="00B71189" w:rsidRPr="00955A54" w:rsidRDefault="00B71189" w:rsidP="00B71189">
      <w:pPr>
        <w:jc w:val="both"/>
        <w:rPr>
          <w:bCs/>
          <w:color w:val="000000" w:themeColor="text1"/>
        </w:rPr>
      </w:pPr>
    </w:p>
    <w:p w14:paraId="08310C61" w14:textId="6DA0F108" w:rsidR="00B71189" w:rsidRPr="00955A54" w:rsidRDefault="00B71189" w:rsidP="00B71189">
      <w:pPr>
        <w:jc w:val="both"/>
        <w:rPr>
          <w:b/>
          <w:bCs/>
          <w:color w:val="000000" w:themeColor="text1"/>
        </w:rPr>
      </w:pPr>
      <w:r w:rsidRPr="00955A54">
        <w:rPr>
          <w:b/>
          <w:bCs/>
          <w:color w:val="000000" w:themeColor="text1"/>
        </w:rPr>
        <w:t xml:space="preserve">Table </w:t>
      </w:r>
      <w:r w:rsidRPr="00955A54">
        <w:rPr>
          <w:b/>
          <w:bCs/>
          <w:color w:val="000000" w:themeColor="text1"/>
        </w:rPr>
        <w:fldChar w:fldCharType="begin"/>
      </w:r>
      <w:r w:rsidRPr="00955A54">
        <w:rPr>
          <w:b/>
          <w:bCs/>
          <w:color w:val="000000" w:themeColor="text1"/>
        </w:rPr>
        <w:instrText xml:space="preserve"> SEQ Table \* ARABIC </w:instrText>
      </w:r>
      <w:r w:rsidRPr="00955A54">
        <w:rPr>
          <w:b/>
          <w:bCs/>
          <w:color w:val="000000" w:themeColor="text1"/>
        </w:rPr>
        <w:fldChar w:fldCharType="separate"/>
      </w:r>
      <w:r w:rsidR="001D4353">
        <w:rPr>
          <w:b/>
          <w:bCs/>
          <w:noProof/>
          <w:color w:val="000000" w:themeColor="text1"/>
        </w:rPr>
        <w:t>1</w:t>
      </w:r>
      <w:r w:rsidRPr="00955A54">
        <w:rPr>
          <w:bCs/>
          <w:color w:val="000000" w:themeColor="text1"/>
        </w:rPr>
        <w:fldChar w:fldCharType="end"/>
      </w:r>
      <w:r w:rsidRPr="00955A54">
        <w:rPr>
          <w:b/>
          <w:bCs/>
          <w:color w:val="000000" w:themeColor="text1"/>
        </w:rPr>
        <w:t>: Simulation assumptions for control channel</w:t>
      </w:r>
    </w:p>
    <w:tbl>
      <w:tblPr>
        <w:tblStyle w:val="TableGrid"/>
        <w:tblW w:w="8156" w:type="dxa"/>
        <w:jc w:val="center"/>
        <w:tblLook w:val="04A0" w:firstRow="1" w:lastRow="0" w:firstColumn="1" w:lastColumn="0" w:noHBand="0" w:noVBand="1"/>
      </w:tblPr>
      <w:tblGrid>
        <w:gridCol w:w="3341"/>
        <w:gridCol w:w="4815"/>
      </w:tblGrid>
      <w:tr w:rsidR="00B71189" w:rsidRPr="00955A54" w14:paraId="0538CC02" w14:textId="77777777" w:rsidTr="00B12AA9">
        <w:trPr>
          <w:jc w:val="center"/>
        </w:trPr>
        <w:tc>
          <w:tcPr>
            <w:tcW w:w="3341" w:type="dxa"/>
            <w:vAlign w:val="center"/>
          </w:tcPr>
          <w:p w14:paraId="5CB4AB98" w14:textId="77777777" w:rsidR="00B71189" w:rsidRPr="00955A54" w:rsidRDefault="00B71189" w:rsidP="00B12AA9">
            <w:pPr>
              <w:jc w:val="both"/>
              <w:rPr>
                <w:bCs/>
                <w:color w:val="000000" w:themeColor="text1"/>
              </w:rPr>
            </w:pPr>
            <w:r w:rsidRPr="00955A54">
              <w:rPr>
                <w:b/>
                <w:bCs/>
                <w:color w:val="000000" w:themeColor="text1"/>
              </w:rPr>
              <w:t>Parameters</w:t>
            </w:r>
          </w:p>
        </w:tc>
        <w:tc>
          <w:tcPr>
            <w:tcW w:w="4815" w:type="dxa"/>
            <w:vAlign w:val="center"/>
          </w:tcPr>
          <w:p w14:paraId="1A27D591" w14:textId="77777777" w:rsidR="00B71189" w:rsidRPr="00955A54" w:rsidRDefault="00B71189" w:rsidP="00B12AA9">
            <w:pPr>
              <w:jc w:val="both"/>
              <w:rPr>
                <w:bCs/>
                <w:color w:val="000000" w:themeColor="text1"/>
              </w:rPr>
            </w:pPr>
            <w:r w:rsidRPr="00955A54">
              <w:rPr>
                <w:b/>
                <w:bCs/>
                <w:color w:val="000000" w:themeColor="text1"/>
              </w:rPr>
              <w:t>Values or assumptions</w:t>
            </w:r>
          </w:p>
        </w:tc>
      </w:tr>
      <w:tr w:rsidR="00B71189" w:rsidRPr="00955A54" w14:paraId="58BF96EB" w14:textId="77777777" w:rsidTr="00B12AA9">
        <w:trPr>
          <w:jc w:val="center"/>
        </w:trPr>
        <w:tc>
          <w:tcPr>
            <w:tcW w:w="3341" w:type="dxa"/>
            <w:vAlign w:val="center"/>
          </w:tcPr>
          <w:p w14:paraId="6EF72245" w14:textId="77777777" w:rsidR="00B71189" w:rsidRPr="00955A54" w:rsidRDefault="00B71189" w:rsidP="00B12AA9">
            <w:pPr>
              <w:jc w:val="both"/>
              <w:rPr>
                <w:bCs/>
                <w:color w:val="000000" w:themeColor="text1"/>
              </w:rPr>
            </w:pPr>
            <w:r w:rsidRPr="00955A54">
              <w:rPr>
                <w:bCs/>
                <w:color w:val="000000" w:themeColor="text1"/>
              </w:rPr>
              <w:t>Channel</w:t>
            </w:r>
          </w:p>
        </w:tc>
        <w:tc>
          <w:tcPr>
            <w:tcW w:w="4815" w:type="dxa"/>
            <w:vAlign w:val="center"/>
          </w:tcPr>
          <w:p w14:paraId="19EA9E17" w14:textId="77777777" w:rsidR="00B71189" w:rsidRPr="00955A54" w:rsidRDefault="00B71189" w:rsidP="00B12AA9">
            <w:pPr>
              <w:jc w:val="both"/>
              <w:rPr>
                <w:bCs/>
                <w:color w:val="000000" w:themeColor="text1"/>
              </w:rPr>
            </w:pPr>
            <w:r w:rsidRPr="00955A54">
              <w:rPr>
                <w:bCs/>
                <w:color w:val="000000" w:themeColor="text1"/>
              </w:rPr>
              <w:t>AWGN</w:t>
            </w:r>
          </w:p>
        </w:tc>
      </w:tr>
      <w:tr w:rsidR="00B71189" w:rsidRPr="00955A54" w14:paraId="5BD6BCC5" w14:textId="77777777" w:rsidTr="00B12AA9">
        <w:trPr>
          <w:jc w:val="center"/>
        </w:trPr>
        <w:tc>
          <w:tcPr>
            <w:tcW w:w="3341" w:type="dxa"/>
            <w:vAlign w:val="center"/>
          </w:tcPr>
          <w:p w14:paraId="490DA8E9" w14:textId="77777777" w:rsidR="00B71189" w:rsidRPr="00955A54" w:rsidRDefault="00B71189" w:rsidP="00B12AA9">
            <w:pPr>
              <w:jc w:val="both"/>
              <w:rPr>
                <w:bCs/>
                <w:color w:val="000000" w:themeColor="text1"/>
              </w:rPr>
            </w:pPr>
            <w:r w:rsidRPr="00955A54">
              <w:rPr>
                <w:bCs/>
                <w:color w:val="000000" w:themeColor="text1"/>
              </w:rPr>
              <w:t>Modulation</w:t>
            </w:r>
          </w:p>
        </w:tc>
        <w:tc>
          <w:tcPr>
            <w:tcW w:w="4815" w:type="dxa"/>
            <w:vAlign w:val="center"/>
          </w:tcPr>
          <w:p w14:paraId="2C15CFEF" w14:textId="77777777" w:rsidR="00B71189" w:rsidRPr="00955A54" w:rsidRDefault="00B71189" w:rsidP="00B12AA9">
            <w:pPr>
              <w:jc w:val="both"/>
              <w:rPr>
                <w:bCs/>
                <w:color w:val="000000" w:themeColor="text1"/>
              </w:rPr>
            </w:pPr>
            <w:r w:rsidRPr="00955A54">
              <w:rPr>
                <w:bCs/>
                <w:color w:val="000000" w:themeColor="text1"/>
              </w:rPr>
              <w:t>QPSK, 16 QAM, 64 QAM</w:t>
            </w:r>
          </w:p>
        </w:tc>
      </w:tr>
      <w:tr w:rsidR="00B71189" w:rsidRPr="00955A54" w14:paraId="01CCD6E9" w14:textId="77777777" w:rsidTr="00B12AA9">
        <w:trPr>
          <w:jc w:val="center"/>
        </w:trPr>
        <w:tc>
          <w:tcPr>
            <w:tcW w:w="3341" w:type="dxa"/>
            <w:vAlign w:val="center"/>
          </w:tcPr>
          <w:p w14:paraId="5814AD34" w14:textId="77777777" w:rsidR="00B71189" w:rsidRPr="00955A54" w:rsidRDefault="00B71189" w:rsidP="00B12AA9">
            <w:pPr>
              <w:jc w:val="both"/>
              <w:rPr>
                <w:bCs/>
                <w:color w:val="000000" w:themeColor="text1"/>
              </w:rPr>
            </w:pPr>
            <w:r w:rsidRPr="00955A54">
              <w:rPr>
                <w:bCs/>
                <w:color w:val="000000" w:themeColor="text1"/>
              </w:rPr>
              <w:t>Coding Scheme</w:t>
            </w:r>
          </w:p>
        </w:tc>
        <w:tc>
          <w:tcPr>
            <w:tcW w:w="4815" w:type="dxa"/>
            <w:vAlign w:val="center"/>
          </w:tcPr>
          <w:p w14:paraId="2C45835A" w14:textId="77777777" w:rsidR="00B71189" w:rsidRPr="00955A54" w:rsidRDefault="00B71189" w:rsidP="00B12AA9">
            <w:pPr>
              <w:jc w:val="both"/>
              <w:rPr>
                <w:bCs/>
                <w:color w:val="000000" w:themeColor="text1"/>
              </w:rPr>
            </w:pPr>
            <w:r w:rsidRPr="00955A54">
              <w:rPr>
                <w:bCs/>
                <w:color w:val="000000" w:themeColor="text1"/>
              </w:rPr>
              <w:t>Reed Muller, Polar</w:t>
            </w:r>
          </w:p>
        </w:tc>
      </w:tr>
      <w:tr w:rsidR="00B71189" w:rsidRPr="00955A54" w14:paraId="48A5610B" w14:textId="77777777" w:rsidTr="00B12AA9">
        <w:trPr>
          <w:jc w:val="center"/>
        </w:trPr>
        <w:tc>
          <w:tcPr>
            <w:tcW w:w="3341" w:type="dxa"/>
            <w:vAlign w:val="center"/>
          </w:tcPr>
          <w:p w14:paraId="2A5D5980" w14:textId="77777777" w:rsidR="00B71189" w:rsidRPr="00955A54" w:rsidRDefault="00B71189" w:rsidP="00B12AA9">
            <w:pPr>
              <w:jc w:val="both"/>
              <w:rPr>
                <w:bCs/>
                <w:color w:val="000000" w:themeColor="text1"/>
              </w:rPr>
            </w:pPr>
            <w:r w:rsidRPr="00955A54">
              <w:rPr>
                <w:bCs/>
                <w:color w:val="000000" w:themeColor="text1"/>
              </w:rPr>
              <w:t>Code rate</w:t>
            </w:r>
          </w:p>
        </w:tc>
        <w:tc>
          <w:tcPr>
            <w:tcW w:w="4815" w:type="dxa"/>
            <w:vAlign w:val="center"/>
          </w:tcPr>
          <w:p w14:paraId="5A3F4776" w14:textId="77777777" w:rsidR="00B71189" w:rsidRPr="00955A54" w:rsidRDefault="00B71189" w:rsidP="00B12AA9">
            <w:pPr>
              <w:jc w:val="both"/>
              <w:rPr>
                <w:bCs/>
                <w:color w:val="000000" w:themeColor="text1"/>
              </w:rPr>
            </w:pPr>
            <w:r w:rsidRPr="00955A54">
              <w:rPr>
                <w:bCs/>
                <w:color w:val="000000" w:themeColor="text1"/>
              </w:rPr>
              <w:t>1/12, 1/6, 1/3, 1/2, 2/3</w:t>
            </w:r>
          </w:p>
        </w:tc>
      </w:tr>
      <w:tr w:rsidR="00B71189" w:rsidRPr="00955A54" w14:paraId="300C0A3B" w14:textId="77777777" w:rsidTr="00B12AA9">
        <w:trPr>
          <w:jc w:val="center"/>
        </w:trPr>
        <w:tc>
          <w:tcPr>
            <w:tcW w:w="3341" w:type="dxa"/>
            <w:vAlign w:val="center"/>
          </w:tcPr>
          <w:p w14:paraId="0B88C169" w14:textId="77777777" w:rsidR="00B71189" w:rsidRPr="00955A54" w:rsidRDefault="00B71189" w:rsidP="00B12AA9">
            <w:pPr>
              <w:jc w:val="both"/>
              <w:rPr>
                <w:bCs/>
                <w:color w:val="000000" w:themeColor="text1"/>
              </w:rPr>
            </w:pPr>
            <w:r w:rsidRPr="00955A54">
              <w:rPr>
                <w:bCs/>
                <w:color w:val="000000" w:themeColor="text1"/>
              </w:rPr>
              <w:t>Decoding algorithm</w:t>
            </w:r>
          </w:p>
        </w:tc>
        <w:tc>
          <w:tcPr>
            <w:tcW w:w="4815" w:type="dxa"/>
            <w:vAlign w:val="center"/>
          </w:tcPr>
          <w:p w14:paraId="18708787" w14:textId="2FCB9CAD" w:rsidR="00B71189" w:rsidRPr="00955A54" w:rsidRDefault="00B71189" w:rsidP="00B12AA9">
            <w:pPr>
              <w:jc w:val="both"/>
              <w:rPr>
                <w:bCs/>
                <w:color w:val="000000" w:themeColor="text1"/>
              </w:rPr>
            </w:pPr>
            <w:r>
              <w:rPr>
                <w:bCs/>
                <w:color w:val="000000" w:themeColor="text1"/>
              </w:rPr>
              <w:t>CA-SCL with path metric monitoring</w:t>
            </w:r>
          </w:p>
        </w:tc>
      </w:tr>
      <w:tr w:rsidR="00B71189" w:rsidRPr="00955A54" w14:paraId="6571E06A" w14:textId="77777777" w:rsidTr="00B12AA9">
        <w:trPr>
          <w:jc w:val="center"/>
        </w:trPr>
        <w:tc>
          <w:tcPr>
            <w:tcW w:w="3341" w:type="dxa"/>
            <w:vAlign w:val="center"/>
          </w:tcPr>
          <w:p w14:paraId="58F13826" w14:textId="77777777" w:rsidR="00B71189" w:rsidRPr="00955A54" w:rsidRDefault="00B71189" w:rsidP="00B12AA9">
            <w:pPr>
              <w:jc w:val="both"/>
              <w:rPr>
                <w:bCs/>
                <w:color w:val="000000" w:themeColor="text1"/>
              </w:rPr>
            </w:pPr>
            <w:r w:rsidRPr="00955A54">
              <w:rPr>
                <w:bCs/>
                <w:color w:val="000000" w:themeColor="text1"/>
              </w:rPr>
              <w:t>Info. block length (w/o CRC) </w:t>
            </w:r>
          </w:p>
        </w:tc>
        <w:tc>
          <w:tcPr>
            <w:tcW w:w="4815" w:type="dxa"/>
            <w:vAlign w:val="center"/>
          </w:tcPr>
          <w:p w14:paraId="3903E4EB" w14:textId="77777777" w:rsidR="00B71189" w:rsidRPr="00955A54" w:rsidRDefault="00B71189" w:rsidP="00B12AA9">
            <w:pPr>
              <w:jc w:val="both"/>
              <w:rPr>
                <w:bCs/>
                <w:color w:val="000000" w:themeColor="text1"/>
              </w:rPr>
            </w:pPr>
            <w:r w:rsidRPr="00955A54">
              <w:rPr>
                <w:bCs/>
                <w:color w:val="000000" w:themeColor="text1"/>
              </w:rPr>
              <w:t>4, 8, 16, 32, 48, 64, 80, 120, 200, 400, 1000, 2000, 4000</w:t>
            </w:r>
          </w:p>
        </w:tc>
      </w:tr>
    </w:tbl>
    <w:p w14:paraId="5CBB2291" w14:textId="77777777" w:rsidR="00B71189" w:rsidRPr="00955A54" w:rsidRDefault="00B71189" w:rsidP="00B71189">
      <w:pPr>
        <w:jc w:val="both"/>
        <w:rPr>
          <w:bCs/>
          <w:color w:val="000000" w:themeColor="text1"/>
        </w:rPr>
      </w:pPr>
    </w:p>
    <w:p w14:paraId="1229E946" w14:textId="77777777" w:rsidR="00B71189" w:rsidRPr="00955A54" w:rsidRDefault="00B71189" w:rsidP="00B71189">
      <w:pPr>
        <w:jc w:val="both"/>
        <w:rPr>
          <w:b/>
          <w:bCs/>
          <w:i/>
          <w:iCs/>
          <w:color w:val="000000" w:themeColor="text1"/>
          <w:u w:val="single"/>
        </w:rPr>
      </w:pPr>
    </w:p>
    <w:p w14:paraId="08DBCA55" w14:textId="253AECEF" w:rsidR="00B0712E" w:rsidRPr="00955A54" w:rsidRDefault="00B0712E" w:rsidP="00B0712E">
      <w:pPr>
        <w:jc w:val="both"/>
        <w:rPr>
          <w:b/>
          <w:bCs/>
          <w:color w:val="000000" w:themeColor="text1"/>
        </w:rPr>
      </w:pPr>
      <w:r w:rsidRPr="00955A54">
        <w:rPr>
          <w:b/>
          <w:bCs/>
          <w:color w:val="000000" w:themeColor="text1"/>
        </w:rPr>
        <w:t xml:space="preserve">Table </w:t>
      </w:r>
      <w:r w:rsidRPr="00955A54">
        <w:rPr>
          <w:b/>
          <w:bCs/>
          <w:color w:val="000000" w:themeColor="text1"/>
        </w:rPr>
        <w:fldChar w:fldCharType="begin"/>
      </w:r>
      <w:r w:rsidRPr="00955A54">
        <w:rPr>
          <w:b/>
          <w:bCs/>
          <w:color w:val="000000" w:themeColor="text1"/>
        </w:rPr>
        <w:instrText xml:space="preserve"> SEQ Table \* ARABIC </w:instrText>
      </w:r>
      <w:r w:rsidRPr="00955A54">
        <w:rPr>
          <w:b/>
          <w:bCs/>
          <w:color w:val="000000" w:themeColor="text1"/>
        </w:rPr>
        <w:fldChar w:fldCharType="separate"/>
      </w:r>
      <w:r w:rsidR="001D4353">
        <w:rPr>
          <w:b/>
          <w:bCs/>
          <w:noProof/>
          <w:color w:val="000000" w:themeColor="text1"/>
        </w:rPr>
        <w:t>2</w:t>
      </w:r>
      <w:r w:rsidRPr="00955A54">
        <w:rPr>
          <w:bCs/>
          <w:color w:val="000000" w:themeColor="text1"/>
        </w:rPr>
        <w:fldChar w:fldCharType="end"/>
      </w:r>
      <w:r w:rsidRPr="00955A54">
        <w:rPr>
          <w:b/>
          <w:bCs/>
          <w:color w:val="000000" w:themeColor="text1"/>
        </w:rPr>
        <w:t>: Simulation assumptions for data channel</w:t>
      </w:r>
    </w:p>
    <w:tbl>
      <w:tblPr>
        <w:tblStyle w:val="TableGrid"/>
        <w:tblW w:w="8156" w:type="dxa"/>
        <w:jc w:val="center"/>
        <w:tblLook w:val="04A0" w:firstRow="1" w:lastRow="0" w:firstColumn="1" w:lastColumn="0" w:noHBand="0" w:noVBand="1"/>
      </w:tblPr>
      <w:tblGrid>
        <w:gridCol w:w="3341"/>
        <w:gridCol w:w="4815"/>
      </w:tblGrid>
      <w:tr w:rsidR="00B0712E" w:rsidRPr="00955A54" w14:paraId="1100C26B" w14:textId="77777777" w:rsidTr="005F618D">
        <w:trPr>
          <w:jc w:val="center"/>
        </w:trPr>
        <w:tc>
          <w:tcPr>
            <w:tcW w:w="3341" w:type="dxa"/>
            <w:vAlign w:val="center"/>
          </w:tcPr>
          <w:p w14:paraId="72EDD19A" w14:textId="77777777" w:rsidR="00B0712E" w:rsidRPr="00955A54" w:rsidRDefault="00B0712E" w:rsidP="005F618D">
            <w:pPr>
              <w:jc w:val="both"/>
              <w:rPr>
                <w:bCs/>
                <w:color w:val="000000" w:themeColor="text1"/>
              </w:rPr>
            </w:pPr>
            <w:r w:rsidRPr="00955A54">
              <w:rPr>
                <w:b/>
                <w:bCs/>
                <w:color w:val="000000" w:themeColor="text1"/>
              </w:rPr>
              <w:t>Parameters</w:t>
            </w:r>
          </w:p>
        </w:tc>
        <w:tc>
          <w:tcPr>
            <w:tcW w:w="4815" w:type="dxa"/>
            <w:vAlign w:val="center"/>
          </w:tcPr>
          <w:p w14:paraId="288F0007" w14:textId="77777777" w:rsidR="00B0712E" w:rsidRPr="00955A54" w:rsidRDefault="00B0712E" w:rsidP="005F618D">
            <w:pPr>
              <w:jc w:val="both"/>
              <w:rPr>
                <w:bCs/>
                <w:color w:val="000000" w:themeColor="text1"/>
              </w:rPr>
            </w:pPr>
            <w:r w:rsidRPr="00955A54">
              <w:rPr>
                <w:b/>
                <w:bCs/>
                <w:color w:val="000000" w:themeColor="text1"/>
              </w:rPr>
              <w:t>Values or assumptions</w:t>
            </w:r>
          </w:p>
        </w:tc>
      </w:tr>
      <w:tr w:rsidR="00B0712E" w:rsidRPr="00955A54" w14:paraId="2ADDEA30" w14:textId="77777777" w:rsidTr="005F618D">
        <w:trPr>
          <w:jc w:val="center"/>
        </w:trPr>
        <w:tc>
          <w:tcPr>
            <w:tcW w:w="3341" w:type="dxa"/>
            <w:vAlign w:val="center"/>
          </w:tcPr>
          <w:p w14:paraId="652F4D59" w14:textId="77777777" w:rsidR="00B0712E" w:rsidRPr="00955A54" w:rsidRDefault="00B0712E" w:rsidP="005F618D">
            <w:pPr>
              <w:jc w:val="both"/>
              <w:rPr>
                <w:bCs/>
                <w:color w:val="000000" w:themeColor="text1"/>
              </w:rPr>
            </w:pPr>
            <w:r w:rsidRPr="00955A54">
              <w:rPr>
                <w:bCs/>
                <w:color w:val="000000" w:themeColor="text1"/>
              </w:rPr>
              <w:t>Channel</w:t>
            </w:r>
          </w:p>
        </w:tc>
        <w:tc>
          <w:tcPr>
            <w:tcW w:w="4815" w:type="dxa"/>
            <w:vAlign w:val="center"/>
          </w:tcPr>
          <w:p w14:paraId="62B73E4D" w14:textId="77777777" w:rsidR="00B0712E" w:rsidRPr="00955A54" w:rsidRDefault="00B0712E" w:rsidP="005F618D">
            <w:pPr>
              <w:jc w:val="both"/>
              <w:rPr>
                <w:bCs/>
                <w:color w:val="000000" w:themeColor="text1"/>
              </w:rPr>
            </w:pPr>
            <w:r w:rsidRPr="00955A54">
              <w:rPr>
                <w:bCs/>
                <w:color w:val="000000" w:themeColor="text1"/>
              </w:rPr>
              <w:t>AWGN</w:t>
            </w:r>
          </w:p>
        </w:tc>
      </w:tr>
      <w:tr w:rsidR="00B0712E" w:rsidRPr="00955A54" w14:paraId="121ADDAE" w14:textId="77777777" w:rsidTr="005F618D">
        <w:trPr>
          <w:jc w:val="center"/>
        </w:trPr>
        <w:tc>
          <w:tcPr>
            <w:tcW w:w="3341" w:type="dxa"/>
            <w:vAlign w:val="center"/>
          </w:tcPr>
          <w:p w14:paraId="1E6E0197" w14:textId="77777777" w:rsidR="00B0712E" w:rsidRPr="00955A54" w:rsidRDefault="00B0712E" w:rsidP="005F618D">
            <w:pPr>
              <w:jc w:val="both"/>
              <w:rPr>
                <w:bCs/>
                <w:color w:val="000000" w:themeColor="text1"/>
              </w:rPr>
            </w:pPr>
            <w:r w:rsidRPr="00955A54">
              <w:rPr>
                <w:bCs/>
                <w:color w:val="000000" w:themeColor="text1"/>
              </w:rPr>
              <w:t>Modulation</w:t>
            </w:r>
          </w:p>
        </w:tc>
        <w:tc>
          <w:tcPr>
            <w:tcW w:w="4815" w:type="dxa"/>
            <w:vAlign w:val="center"/>
          </w:tcPr>
          <w:p w14:paraId="7D3FC2A3" w14:textId="77777777" w:rsidR="00B0712E" w:rsidRPr="00955A54" w:rsidRDefault="00B0712E" w:rsidP="005F618D">
            <w:pPr>
              <w:jc w:val="both"/>
              <w:rPr>
                <w:bCs/>
                <w:color w:val="000000" w:themeColor="text1"/>
              </w:rPr>
            </w:pPr>
            <w:r w:rsidRPr="00955A54">
              <w:rPr>
                <w:bCs/>
                <w:color w:val="000000" w:themeColor="text1"/>
              </w:rPr>
              <w:t xml:space="preserve">QPSK, </w:t>
            </w:r>
            <w:r>
              <w:rPr>
                <w:bCs/>
                <w:color w:val="000000" w:themeColor="text1"/>
              </w:rPr>
              <w:t xml:space="preserve">16 QAM, </w:t>
            </w:r>
            <w:r w:rsidRPr="00955A54">
              <w:rPr>
                <w:bCs/>
                <w:color w:val="000000" w:themeColor="text1"/>
              </w:rPr>
              <w:t>64 QAM, 256 QAM</w:t>
            </w:r>
          </w:p>
        </w:tc>
      </w:tr>
      <w:tr w:rsidR="00B0712E" w:rsidRPr="00955A54" w14:paraId="38360839" w14:textId="77777777" w:rsidTr="005F618D">
        <w:trPr>
          <w:jc w:val="center"/>
        </w:trPr>
        <w:tc>
          <w:tcPr>
            <w:tcW w:w="3341" w:type="dxa"/>
            <w:vAlign w:val="center"/>
          </w:tcPr>
          <w:p w14:paraId="2BB7166F" w14:textId="77777777" w:rsidR="00B0712E" w:rsidRPr="00955A54" w:rsidRDefault="00B0712E" w:rsidP="005F618D">
            <w:pPr>
              <w:jc w:val="both"/>
              <w:rPr>
                <w:bCs/>
                <w:color w:val="000000" w:themeColor="text1"/>
              </w:rPr>
            </w:pPr>
            <w:r w:rsidRPr="00955A54">
              <w:rPr>
                <w:bCs/>
                <w:color w:val="000000" w:themeColor="text1"/>
              </w:rPr>
              <w:t>Coding Scheme</w:t>
            </w:r>
          </w:p>
        </w:tc>
        <w:tc>
          <w:tcPr>
            <w:tcW w:w="4815" w:type="dxa"/>
            <w:vAlign w:val="center"/>
          </w:tcPr>
          <w:p w14:paraId="29E458F9" w14:textId="77777777" w:rsidR="00B0712E" w:rsidRPr="00955A54" w:rsidRDefault="00B0712E" w:rsidP="005F618D">
            <w:pPr>
              <w:jc w:val="both"/>
              <w:rPr>
                <w:bCs/>
                <w:color w:val="000000" w:themeColor="text1"/>
              </w:rPr>
            </w:pPr>
            <w:r w:rsidRPr="00955A54">
              <w:rPr>
                <w:bCs/>
                <w:color w:val="000000" w:themeColor="text1"/>
              </w:rPr>
              <w:t>LDPC</w:t>
            </w:r>
          </w:p>
        </w:tc>
      </w:tr>
      <w:tr w:rsidR="00B0712E" w:rsidRPr="00955A54" w14:paraId="12EE4086" w14:textId="77777777" w:rsidTr="005F618D">
        <w:trPr>
          <w:jc w:val="center"/>
        </w:trPr>
        <w:tc>
          <w:tcPr>
            <w:tcW w:w="3341" w:type="dxa"/>
            <w:vAlign w:val="center"/>
          </w:tcPr>
          <w:p w14:paraId="0BE63C4A" w14:textId="77777777" w:rsidR="00B0712E" w:rsidRPr="00955A54" w:rsidRDefault="00B0712E" w:rsidP="005F618D">
            <w:pPr>
              <w:jc w:val="both"/>
              <w:rPr>
                <w:bCs/>
                <w:color w:val="000000" w:themeColor="text1"/>
              </w:rPr>
            </w:pPr>
            <w:r w:rsidRPr="00955A54">
              <w:rPr>
                <w:bCs/>
                <w:color w:val="000000" w:themeColor="text1"/>
              </w:rPr>
              <w:t>Code rate</w:t>
            </w:r>
          </w:p>
        </w:tc>
        <w:tc>
          <w:tcPr>
            <w:tcW w:w="4815" w:type="dxa"/>
            <w:vAlign w:val="center"/>
          </w:tcPr>
          <w:p w14:paraId="1AA3A499" w14:textId="77777777" w:rsidR="00B0712E" w:rsidRPr="00955A54" w:rsidRDefault="00B0712E" w:rsidP="005F618D">
            <w:pPr>
              <w:jc w:val="both"/>
              <w:rPr>
                <w:bCs/>
                <w:color w:val="000000" w:themeColor="text1"/>
              </w:rPr>
            </w:pPr>
            <w:r w:rsidRPr="00955A54">
              <w:rPr>
                <w:bCs/>
                <w:color w:val="000000" w:themeColor="text1"/>
              </w:rPr>
              <w:t>1/5, 1/3, 2/5, 1/2, 2/3, 3/4, 5/6, 8/9</w:t>
            </w:r>
            <w:r>
              <w:rPr>
                <w:bCs/>
                <w:color w:val="000000" w:themeColor="text1"/>
              </w:rPr>
              <w:t>, 11/12</w:t>
            </w:r>
          </w:p>
        </w:tc>
      </w:tr>
      <w:tr w:rsidR="00B0712E" w:rsidRPr="00955A54" w14:paraId="3640EBEB" w14:textId="77777777" w:rsidTr="005F618D">
        <w:trPr>
          <w:jc w:val="center"/>
        </w:trPr>
        <w:tc>
          <w:tcPr>
            <w:tcW w:w="3341" w:type="dxa"/>
            <w:vAlign w:val="center"/>
          </w:tcPr>
          <w:p w14:paraId="592E1E55" w14:textId="77777777" w:rsidR="00B0712E" w:rsidRPr="00955A54" w:rsidRDefault="00B0712E" w:rsidP="005F618D">
            <w:pPr>
              <w:jc w:val="both"/>
              <w:rPr>
                <w:bCs/>
                <w:color w:val="000000" w:themeColor="text1"/>
              </w:rPr>
            </w:pPr>
            <w:r w:rsidRPr="00955A54">
              <w:rPr>
                <w:bCs/>
                <w:color w:val="000000" w:themeColor="text1"/>
              </w:rPr>
              <w:t>Decoding algorithm</w:t>
            </w:r>
          </w:p>
        </w:tc>
        <w:tc>
          <w:tcPr>
            <w:tcW w:w="4815" w:type="dxa"/>
            <w:vAlign w:val="center"/>
          </w:tcPr>
          <w:p w14:paraId="594E91EC" w14:textId="77777777" w:rsidR="00B0712E" w:rsidRPr="00955A54" w:rsidRDefault="00B0712E" w:rsidP="005F618D">
            <w:pPr>
              <w:rPr>
                <w:bCs/>
                <w:color w:val="000000" w:themeColor="text1"/>
              </w:rPr>
            </w:pPr>
            <w:r w:rsidRPr="00955A54">
              <w:rPr>
                <w:bCs/>
                <w:color w:val="000000" w:themeColor="text1"/>
              </w:rPr>
              <w:t>Min-</w:t>
            </w:r>
            <w:r>
              <w:rPr>
                <w:bCs/>
                <w:color w:val="000000" w:themeColor="text1"/>
              </w:rPr>
              <w:t>S</w:t>
            </w:r>
            <w:r w:rsidRPr="00955A54">
              <w:rPr>
                <w:bCs/>
                <w:color w:val="000000" w:themeColor="text1"/>
              </w:rPr>
              <w:t>um</w:t>
            </w:r>
            <w:r>
              <w:rPr>
                <w:bCs/>
                <w:color w:val="000000" w:themeColor="text1"/>
              </w:rPr>
              <w:t>, Belief-Propagation</w:t>
            </w:r>
            <w:r w:rsidRPr="00955A54">
              <w:rPr>
                <w:bCs/>
                <w:color w:val="000000" w:themeColor="text1"/>
              </w:rPr>
              <w:t xml:space="preserve"> </w:t>
            </w:r>
            <w:r>
              <w:rPr>
                <w:bCs/>
                <w:color w:val="000000" w:themeColor="text1"/>
              </w:rPr>
              <w:t xml:space="preserve">decoders </w:t>
            </w:r>
            <w:r w:rsidRPr="00955A54">
              <w:rPr>
                <w:bCs/>
                <w:color w:val="000000" w:themeColor="text1"/>
              </w:rPr>
              <w:t>(</w:t>
            </w:r>
            <w:r>
              <w:rPr>
                <w:bCs/>
                <w:color w:val="000000" w:themeColor="text1"/>
              </w:rPr>
              <w:t>4/</w:t>
            </w:r>
            <w:r w:rsidRPr="00955A54">
              <w:rPr>
                <w:bCs/>
                <w:color w:val="000000" w:themeColor="text1"/>
              </w:rPr>
              <w:t>8/16/32/64</w:t>
            </w:r>
            <w:r>
              <w:rPr>
                <w:bCs/>
                <w:color w:val="000000" w:themeColor="text1"/>
              </w:rPr>
              <w:t xml:space="preserve"> </w:t>
            </w:r>
            <w:r w:rsidRPr="00955A54">
              <w:rPr>
                <w:bCs/>
                <w:color w:val="000000" w:themeColor="text1"/>
              </w:rPr>
              <w:t>decoding iterations)</w:t>
            </w:r>
          </w:p>
        </w:tc>
      </w:tr>
      <w:tr w:rsidR="00B0712E" w:rsidRPr="00955A54" w14:paraId="24643E6B" w14:textId="77777777" w:rsidTr="005F618D">
        <w:trPr>
          <w:jc w:val="center"/>
        </w:trPr>
        <w:tc>
          <w:tcPr>
            <w:tcW w:w="3341" w:type="dxa"/>
            <w:vAlign w:val="center"/>
          </w:tcPr>
          <w:p w14:paraId="73A76066" w14:textId="77777777" w:rsidR="00B0712E" w:rsidRPr="00955A54" w:rsidRDefault="00B0712E" w:rsidP="005F618D">
            <w:pPr>
              <w:jc w:val="both"/>
              <w:rPr>
                <w:bCs/>
                <w:color w:val="000000" w:themeColor="text1"/>
              </w:rPr>
            </w:pPr>
            <w:r w:rsidRPr="00955A54">
              <w:rPr>
                <w:bCs/>
                <w:color w:val="000000" w:themeColor="text1"/>
              </w:rPr>
              <w:t>Info. block length (w/o CRC) </w:t>
            </w:r>
          </w:p>
        </w:tc>
        <w:tc>
          <w:tcPr>
            <w:tcW w:w="4815" w:type="dxa"/>
            <w:vAlign w:val="center"/>
          </w:tcPr>
          <w:p w14:paraId="772A1493" w14:textId="77777777" w:rsidR="00B0712E" w:rsidRPr="00955A54" w:rsidRDefault="00B0712E" w:rsidP="005F618D">
            <w:pPr>
              <w:jc w:val="both"/>
              <w:rPr>
                <w:bCs/>
                <w:color w:val="000000" w:themeColor="text1"/>
              </w:rPr>
            </w:pPr>
            <w:r w:rsidRPr="00955A54">
              <w:rPr>
                <w:bCs/>
                <w:color w:val="000000" w:themeColor="text1"/>
              </w:rPr>
              <w:t>100, 400, 1000, 2000, 4000, 6000, 8000, 12000, 16000, 32000, 64000</w:t>
            </w:r>
          </w:p>
        </w:tc>
      </w:tr>
    </w:tbl>
    <w:p w14:paraId="6CE6D8AD" w14:textId="77777777" w:rsidR="00B71189" w:rsidRDefault="00B71189" w:rsidP="00B71189">
      <w:pPr>
        <w:jc w:val="both"/>
        <w:rPr>
          <w:bCs/>
          <w:color w:val="000000" w:themeColor="text1"/>
        </w:rPr>
      </w:pPr>
    </w:p>
    <w:p w14:paraId="6F13522A" w14:textId="77777777" w:rsidR="00B71189" w:rsidRDefault="00B71189" w:rsidP="00B71189">
      <w:pPr>
        <w:jc w:val="both"/>
        <w:rPr>
          <w:b/>
          <w:bCs/>
          <w:i/>
          <w:iCs/>
          <w:u w:val="single"/>
        </w:rPr>
      </w:pPr>
    </w:p>
    <w:p w14:paraId="5344160F" w14:textId="4992A4CB" w:rsidR="00B71189" w:rsidRPr="0011679E" w:rsidRDefault="00B71189" w:rsidP="00B71189">
      <w:pPr>
        <w:jc w:val="both"/>
        <w:rPr>
          <w:bCs/>
          <w:color w:val="000000" w:themeColor="text1"/>
        </w:rPr>
      </w:pPr>
      <w:r w:rsidRPr="00B37E4E">
        <w:rPr>
          <w:b/>
          <w:bCs/>
          <w:i/>
          <w:iCs/>
          <w:u w:val="single"/>
        </w:rPr>
        <w:t xml:space="preserve">Proposal </w:t>
      </w:r>
      <w:r>
        <w:rPr>
          <w:b/>
          <w:bCs/>
          <w:i/>
          <w:iCs/>
          <w:u w:val="single"/>
        </w:rPr>
        <w:t>12</w:t>
      </w:r>
      <w:r w:rsidRPr="00B37E4E">
        <w:rPr>
          <w:b/>
          <w:bCs/>
          <w:i/>
          <w:iCs/>
        </w:rPr>
        <w:t>:</w:t>
      </w:r>
      <w:r w:rsidRPr="00B37E4E">
        <w:rPr>
          <w:i/>
          <w:iCs/>
        </w:rPr>
        <w:t xml:space="preserve"> </w:t>
      </w:r>
      <w:r>
        <w:rPr>
          <w:i/>
          <w:iCs/>
        </w:rPr>
        <w:t xml:space="preserve">It is proposed to define the evaluation and decoder assumptions, based on Tables 1 and 2. </w:t>
      </w:r>
    </w:p>
    <w:p w14:paraId="760F2094" w14:textId="77777777" w:rsidR="00B71189" w:rsidRDefault="00B71189" w:rsidP="00B71189"/>
    <w:p w14:paraId="3D61B385" w14:textId="3AFCE3E4" w:rsidR="00B71189" w:rsidRDefault="00B71189" w:rsidP="00B71189">
      <w:pPr>
        <w:jc w:val="both"/>
        <w:rPr>
          <w:bCs/>
          <w:color w:val="000000" w:themeColor="text1"/>
        </w:rPr>
      </w:pPr>
      <w:r w:rsidRPr="00955A54">
        <w:rPr>
          <w:bCs/>
          <w:color w:val="000000" w:themeColor="text1"/>
        </w:rPr>
        <w:lastRenderedPageBreak/>
        <w:t xml:space="preserve">Regarding FAR, it is recalled that in 5G NR a uniform FAR requirement of </w:t>
      </w:r>
      <m:oMath>
        <m:r>
          <w:rPr>
            <w:rFonts w:ascii="Cambria Math" w:hAnsi="Cambria Math"/>
            <w:color w:val="000000" w:themeColor="text1"/>
          </w:rPr>
          <m:t>1.5×</m:t>
        </m:r>
        <m:sSup>
          <m:sSupPr>
            <m:ctrlPr>
              <w:rPr>
                <w:rFonts w:ascii="Cambria Math" w:hAnsi="Cambria Math"/>
                <w:bCs/>
                <w:i/>
                <w:color w:val="000000" w:themeColor="text1"/>
              </w:rPr>
            </m:ctrlPr>
          </m:sSupPr>
          <m:e>
            <m:r>
              <w:rPr>
                <w:rFonts w:ascii="Cambria Math" w:hAnsi="Cambria Math"/>
                <w:color w:val="000000" w:themeColor="text1"/>
              </w:rPr>
              <m:t>2</m:t>
            </m:r>
          </m:e>
          <m:sup>
            <m:r>
              <w:rPr>
                <w:rFonts w:ascii="Cambria Math" w:hAnsi="Cambria Math"/>
                <w:color w:val="000000" w:themeColor="text1"/>
              </w:rPr>
              <m:t>-21</m:t>
            </m:r>
          </m:sup>
        </m:sSup>
      </m:oMath>
      <w:r w:rsidRPr="00955A54">
        <w:rPr>
          <w:bCs/>
          <w:color w:val="000000" w:themeColor="text1"/>
        </w:rPr>
        <w:t xml:space="preserve"> was applied across all </w:t>
      </w:r>
      <w:r w:rsidR="00AA384D">
        <w:rPr>
          <w:bCs/>
          <w:color w:val="000000" w:themeColor="text1"/>
        </w:rPr>
        <w:t xml:space="preserve">false alarm </w:t>
      </w:r>
      <w:r w:rsidRPr="00955A54">
        <w:rPr>
          <w:bCs/>
          <w:color w:val="000000" w:themeColor="text1"/>
        </w:rPr>
        <w:t xml:space="preserve">categories. Satisfying this requirement is trivial when the decoder input can be modeled as random noise or random QPSK symbols corrupted by noise. However, in more challenging scenarios where the decoder input corresponds to valid polar codewords, meeting the FAR requirement is significantly more </w:t>
      </w:r>
      <w:r w:rsidR="00AA384D">
        <w:rPr>
          <w:bCs/>
          <w:color w:val="000000" w:themeColor="text1"/>
        </w:rPr>
        <w:t>challenging</w:t>
      </w:r>
      <w:r w:rsidRPr="00955A54">
        <w:rPr>
          <w:bCs/>
          <w:color w:val="000000" w:themeColor="text1"/>
        </w:rPr>
        <w:t>, especially if FAR enhancement techniques such as path-metric monitoring are not considered.</w:t>
      </w:r>
    </w:p>
    <w:p w14:paraId="6830C26A" w14:textId="77777777" w:rsidR="00B71189" w:rsidRPr="00955A54" w:rsidRDefault="00B71189" w:rsidP="00B71189">
      <w:pPr>
        <w:jc w:val="both"/>
        <w:rPr>
          <w:bCs/>
          <w:color w:val="000000" w:themeColor="text1"/>
        </w:rPr>
      </w:pPr>
    </w:p>
    <w:p w14:paraId="331D8326" w14:textId="19369BBB" w:rsidR="000827D7" w:rsidRPr="000E52DF" w:rsidRDefault="000E52DF" w:rsidP="00B71189">
      <w:pPr>
        <w:jc w:val="both"/>
        <w:rPr>
          <w:i/>
          <w:iCs/>
          <w:u w:val="single"/>
        </w:rPr>
      </w:pPr>
      <w:r w:rsidRPr="000E52DF">
        <w:rPr>
          <w:color w:val="000000" w:themeColor="text1"/>
        </w:rPr>
        <w:t xml:space="preserve">The Undetected Error Rate (UER) represents a specific category of false alarm in which the UE polar decoder is initialized with LLR values corresponding to a valid </w:t>
      </w:r>
      <w:proofErr w:type="gramStart"/>
      <w:r w:rsidRPr="000E52DF">
        <w:rPr>
          <w:color w:val="000000" w:themeColor="text1"/>
        </w:rPr>
        <w:t>DCI, yet</w:t>
      </w:r>
      <w:proofErr w:type="gramEnd"/>
      <w:r w:rsidRPr="000E52DF">
        <w:rPr>
          <w:color w:val="000000" w:themeColor="text1"/>
        </w:rPr>
        <w:t xml:space="preserve"> produces an erroneous estimate that is not identified by the CRC. Given the rarity of the required conditions—namely, the presence of a valid DCI in combination with a decoding failure—it is proposed to redefine the FAR requirement for UER such that it only needs to be met within operating SNR ranges where the BLER is below 1%.</w:t>
      </w:r>
    </w:p>
    <w:p w14:paraId="72FBC607" w14:textId="77777777" w:rsidR="00B71189" w:rsidRDefault="00B71189" w:rsidP="000827D7"/>
    <w:p w14:paraId="7A95F315" w14:textId="66491711" w:rsidR="00B71189" w:rsidRPr="0011679E" w:rsidRDefault="00B71189" w:rsidP="00B71189">
      <w:pPr>
        <w:jc w:val="both"/>
        <w:rPr>
          <w:bCs/>
          <w:color w:val="000000" w:themeColor="text1"/>
        </w:rPr>
      </w:pPr>
      <w:r w:rsidRPr="00B37E4E">
        <w:rPr>
          <w:b/>
          <w:bCs/>
          <w:i/>
          <w:iCs/>
          <w:u w:val="single"/>
        </w:rPr>
        <w:t xml:space="preserve">Proposal </w:t>
      </w:r>
      <w:r>
        <w:rPr>
          <w:b/>
          <w:bCs/>
          <w:i/>
          <w:iCs/>
          <w:u w:val="single"/>
        </w:rPr>
        <w:t>13</w:t>
      </w:r>
      <w:r w:rsidRPr="00B37E4E">
        <w:rPr>
          <w:b/>
          <w:bCs/>
          <w:i/>
          <w:iCs/>
        </w:rPr>
        <w:t>:</w:t>
      </w:r>
      <w:r w:rsidRPr="00B37E4E">
        <w:rPr>
          <w:i/>
          <w:iCs/>
        </w:rPr>
        <w:t xml:space="preserve"> </w:t>
      </w:r>
      <w:r w:rsidRPr="00B71189">
        <w:rPr>
          <w:i/>
          <w:iCs/>
        </w:rPr>
        <w:t>It is proposed to refine the FAR requirements by differentiating across categories based on their rarity and by restricting the requirements to operating SNR ranges corresponding to practical BLER levels.</w:t>
      </w:r>
    </w:p>
    <w:p w14:paraId="656F2981" w14:textId="77777777" w:rsidR="006539DE" w:rsidRDefault="006539DE" w:rsidP="000827D7"/>
    <w:p w14:paraId="069DF6FC" w14:textId="77777777" w:rsidR="000E52DF" w:rsidRPr="000E52DF" w:rsidRDefault="000E52DF" w:rsidP="000E52DF">
      <w:pPr>
        <w:jc w:val="both"/>
      </w:pPr>
      <w:r w:rsidRPr="000E52DF">
        <w:t>For LDPC codes, the Min</w:t>
      </w:r>
      <w:r w:rsidRPr="000E52DF">
        <w:noBreakHyphen/>
        <w:t>Sum decoder is generally regarded as the standard choice for hardware implementations. Several Min</w:t>
      </w:r>
      <w:r w:rsidRPr="000E52DF">
        <w:noBreakHyphen/>
        <w:t>Sum variants exist with different optimizations, which can affect decoding performance. Therefore, when comparing the coding performance of different LDPC designs, it is preferable to use the Belief</w:t>
      </w:r>
      <w:r w:rsidRPr="000E52DF">
        <w:noBreakHyphen/>
        <w:t>Propagation (Sum</w:t>
      </w:r>
      <w:r w:rsidRPr="000E52DF">
        <w:noBreakHyphen/>
        <w:t>Product) decoder as the reference. In contrast, when evaluating hardware complexity, the Min</w:t>
      </w:r>
      <w:r w:rsidRPr="000E52DF">
        <w:noBreakHyphen/>
        <w:t>Sum decoder is the more appropriate baseline, since the various Min</w:t>
      </w:r>
      <w:r w:rsidRPr="000E52DF">
        <w:noBreakHyphen/>
        <w:t>Sum variants typically exhibit similar implementation complexity.</w:t>
      </w:r>
    </w:p>
    <w:p w14:paraId="032819A2" w14:textId="77777777" w:rsidR="000E52DF" w:rsidRPr="000E52DF" w:rsidRDefault="000E52DF" w:rsidP="000E52DF">
      <w:pPr>
        <w:jc w:val="both"/>
      </w:pPr>
    </w:p>
    <w:p w14:paraId="7518E31B" w14:textId="77777777" w:rsidR="000E52DF" w:rsidRPr="000E52DF" w:rsidRDefault="000E52DF" w:rsidP="000E52DF">
      <w:pPr>
        <w:jc w:val="both"/>
      </w:pPr>
      <w:r w:rsidRPr="000E52DF">
        <w:t>When assessing the complexity of LDPC codes for the data channel relative to other coding schemes (e.g., Polar codes), comparisons should be based on practical hardware metrics such as circuit footprint and power consumption, under equivalent throughput and latency constraints. Raw counts of additions, multiplications, or other arithmetic operations are not representative of realistic ASIC implementations targeted for 6G systems.</w:t>
      </w:r>
    </w:p>
    <w:p w14:paraId="5A19491B" w14:textId="4C557CB5" w:rsidR="000827D7" w:rsidRDefault="000827D7" w:rsidP="00EB0C78">
      <w:pPr>
        <w:jc w:val="both"/>
        <w:rPr>
          <w:sz w:val="36"/>
          <w:szCs w:val="36"/>
        </w:rPr>
      </w:pPr>
      <w:r>
        <w:br w:type="page"/>
      </w:r>
    </w:p>
    <w:p w14:paraId="17166661" w14:textId="77777777" w:rsidR="000827D7" w:rsidRPr="00A6576F" w:rsidRDefault="000827D7" w:rsidP="000827D7">
      <w:pPr>
        <w:pStyle w:val="Heading1"/>
      </w:pPr>
      <w:r w:rsidRPr="00A6576F">
        <w:lastRenderedPageBreak/>
        <w:t>Conclusion</w:t>
      </w:r>
      <w:r>
        <w:t>s</w:t>
      </w:r>
    </w:p>
    <w:p w14:paraId="51625B59" w14:textId="77777777" w:rsidR="000827D7" w:rsidRDefault="000827D7" w:rsidP="000827D7">
      <w:pPr>
        <w:jc w:val="both"/>
      </w:pPr>
      <w:r>
        <w:t>In this contribution, we provided our views on 6G channel coding. Our proposals are as follows:</w:t>
      </w:r>
    </w:p>
    <w:p w14:paraId="45574371" w14:textId="77777777" w:rsidR="000827D7" w:rsidRDefault="000827D7" w:rsidP="000827D7">
      <w:pPr>
        <w:jc w:val="both"/>
      </w:pPr>
    </w:p>
    <w:p w14:paraId="61F38768" w14:textId="77777777" w:rsidR="00D10C3F" w:rsidRDefault="00D10C3F" w:rsidP="00D10C3F">
      <w:pPr>
        <w:rPr>
          <w:i/>
          <w:iCs/>
        </w:rPr>
      </w:pPr>
      <w:r w:rsidRPr="00B37E4E">
        <w:rPr>
          <w:b/>
          <w:bCs/>
          <w:i/>
          <w:iCs/>
          <w:u w:val="single"/>
        </w:rPr>
        <w:t xml:space="preserve">Proposal </w:t>
      </w:r>
      <w:r>
        <w:rPr>
          <w:b/>
          <w:bCs/>
          <w:i/>
          <w:iCs/>
          <w:u w:val="single"/>
        </w:rPr>
        <w:t>1</w:t>
      </w:r>
      <w:r w:rsidRPr="00B37E4E">
        <w:rPr>
          <w:b/>
          <w:bCs/>
          <w:i/>
          <w:iCs/>
        </w:rPr>
        <w:t>:</w:t>
      </w:r>
      <w:r w:rsidRPr="00B37E4E">
        <w:rPr>
          <w:i/>
          <w:iCs/>
        </w:rPr>
        <w:t xml:space="preserve"> </w:t>
      </w:r>
      <w:r w:rsidRPr="0092562A">
        <w:rPr>
          <w:i/>
          <w:iCs/>
        </w:rPr>
        <w:t xml:space="preserve">It is proposed to enable two-stage decoding by relocating all or part of the RNTI to the leading segment, </w:t>
      </w:r>
      <w:proofErr w:type="gramStart"/>
      <w:r w:rsidRPr="0092562A">
        <w:rPr>
          <w:i/>
          <w:iCs/>
        </w:rPr>
        <w:t>in order to</w:t>
      </w:r>
      <w:proofErr w:type="gramEnd"/>
      <w:r w:rsidRPr="0092562A">
        <w:rPr>
          <w:i/>
          <w:iCs/>
        </w:rPr>
        <w:t xml:space="preserve"> reduce blind decoding complexity and power consumption for longer DCI payloads.</w:t>
      </w:r>
    </w:p>
    <w:p w14:paraId="3C7A3630" w14:textId="77777777" w:rsidR="000827D7" w:rsidRDefault="000827D7" w:rsidP="000827D7"/>
    <w:p w14:paraId="31C38A7F" w14:textId="77777777" w:rsidR="00D10C3F" w:rsidRDefault="00D10C3F" w:rsidP="00D10C3F">
      <w:pPr>
        <w:rPr>
          <w:i/>
          <w:iCs/>
        </w:rPr>
      </w:pPr>
      <w:r w:rsidRPr="00B37E4E">
        <w:rPr>
          <w:b/>
          <w:bCs/>
          <w:i/>
          <w:iCs/>
          <w:u w:val="single"/>
        </w:rPr>
        <w:t xml:space="preserve">Proposal </w:t>
      </w:r>
      <w:r>
        <w:rPr>
          <w:b/>
          <w:bCs/>
          <w:i/>
          <w:iCs/>
          <w:u w:val="single"/>
        </w:rPr>
        <w:t>2</w:t>
      </w:r>
      <w:r w:rsidRPr="00B37E4E">
        <w:rPr>
          <w:b/>
          <w:bCs/>
          <w:i/>
          <w:iCs/>
        </w:rPr>
        <w:t>:</w:t>
      </w:r>
      <w:r w:rsidRPr="00B37E4E">
        <w:rPr>
          <w:i/>
          <w:iCs/>
        </w:rPr>
        <w:t xml:space="preserve"> </w:t>
      </w:r>
      <w:r w:rsidRPr="001249AE">
        <w:rPr>
          <w:i/>
          <w:iCs/>
        </w:rPr>
        <w:t>It is proposed to employ inter-segment coding, such as partial polarization, to improve two-stage decoding performance by recovering coding gain while ensuring the RNTI sequence can fit in the first segment.</w:t>
      </w:r>
    </w:p>
    <w:p w14:paraId="6C4989A6" w14:textId="77777777" w:rsidR="000827D7" w:rsidRDefault="000827D7" w:rsidP="000827D7">
      <w:pPr>
        <w:jc w:val="both"/>
        <w:rPr>
          <w:bCs/>
          <w:color w:val="000000" w:themeColor="text1"/>
        </w:rPr>
      </w:pPr>
    </w:p>
    <w:p w14:paraId="3A6CA152" w14:textId="77777777" w:rsidR="00D10C3F" w:rsidRDefault="00D10C3F" w:rsidP="00D10C3F">
      <w:pPr>
        <w:rPr>
          <w:i/>
          <w:iCs/>
        </w:rPr>
      </w:pPr>
      <w:r w:rsidRPr="00B37E4E">
        <w:rPr>
          <w:b/>
          <w:bCs/>
          <w:i/>
          <w:iCs/>
          <w:u w:val="single"/>
        </w:rPr>
        <w:t xml:space="preserve">Proposal </w:t>
      </w:r>
      <w:r>
        <w:rPr>
          <w:b/>
          <w:bCs/>
          <w:i/>
          <w:iCs/>
          <w:u w:val="single"/>
        </w:rPr>
        <w:t>3</w:t>
      </w:r>
      <w:r w:rsidRPr="00B37E4E">
        <w:rPr>
          <w:b/>
          <w:bCs/>
          <w:i/>
          <w:iCs/>
        </w:rPr>
        <w:t>:</w:t>
      </w:r>
      <w:r w:rsidRPr="00B37E4E">
        <w:rPr>
          <w:i/>
          <w:iCs/>
        </w:rPr>
        <w:t xml:space="preserve"> </w:t>
      </w:r>
      <w:r w:rsidRPr="00460978">
        <w:rPr>
          <w:i/>
          <w:iCs/>
        </w:rPr>
        <w:t>It is proposed to combine partially polarized inter-segment coding with legacy polar segments to form PPP codes, thereby ensuring backward compatibility with legacy solutions</w:t>
      </w:r>
      <w:r>
        <w:rPr>
          <w:i/>
          <w:iCs/>
        </w:rPr>
        <w:t>.</w:t>
      </w:r>
    </w:p>
    <w:p w14:paraId="1E26BC6C" w14:textId="77777777" w:rsidR="000827D7" w:rsidRDefault="000827D7" w:rsidP="000827D7">
      <w:pPr>
        <w:jc w:val="both"/>
        <w:rPr>
          <w:bCs/>
          <w:color w:val="000000" w:themeColor="text1"/>
        </w:rPr>
      </w:pPr>
    </w:p>
    <w:p w14:paraId="73ACD54A" w14:textId="77777777" w:rsidR="00D10C3F" w:rsidRDefault="00D10C3F" w:rsidP="00D10C3F">
      <w:pPr>
        <w:tabs>
          <w:tab w:val="left" w:pos="2596"/>
        </w:tabs>
        <w:jc w:val="both"/>
      </w:pPr>
      <w:r w:rsidRPr="00B37E4E">
        <w:rPr>
          <w:b/>
          <w:bCs/>
          <w:i/>
          <w:iCs/>
          <w:u w:val="single"/>
        </w:rPr>
        <w:t xml:space="preserve">Proposal </w:t>
      </w:r>
      <w:r>
        <w:rPr>
          <w:b/>
          <w:bCs/>
          <w:i/>
          <w:iCs/>
          <w:u w:val="single"/>
        </w:rPr>
        <w:t>4</w:t>
      </w:r>
      <w:r w:rsidRPr="00B37E4E">
        <w:rPr>
          <w:b/>
          <w:bCs/>
          <w:i/>
          <w:iCs/>
        </w:rPr>
        <w:t>:</w:t>
      </w:r>
      <w:r w:rsidRPr="00B37E4E">
        <w:rPr>
          <w:i/>
          <w:iCs/>
        </w:rPr>
        <w:t xml:space="preserve"> </w:t>
      </w:r>
      <w:r w:rsidRPr="00535DD1">
        <w:rPr>
          <w:i/>
          <w:iCs/>
        </w:rPr>
        <w:t xml:space="preserve">It is proposed to simplify the CRC precoding for PDCCH by removing the bit-interleaver and introducing a segmented CRC precoding scheme, </w:t>
      </w:r>
      <w:r>
        <w:rPr>
          <w:i/>
          <w:iCs/>
        </w:rPr>
        <w:t>enhancing</w:t>
      </w:r>
      <w:r w:rsidRPr="00535DD1">
        <w:rPr>
          <w:i/>
          <w:iCs/>
        </w:rPr>
        <w:t xml:space="preserve"> CRC-assisted early termination while maintaining compliance with FAR requirements.</w:t>
      </w:r>
    </w:p>
    <w:p w14:paraId="4C783376" w14:textId="77777777" w:rsidR="000827D7" w:rsidRDefault="000827D7" w:rsidP="000827D7">
      <w:pPr>
        <w:jc w:val="both"/>
        <w:rPr>
          <w:bCs/>
          <w:color w:val="000000" w:themeColor="text1"/>
        </w:rPr>
      </w:pPr>
    </w:p>
    <w:p w14:paraId="4E45585A" w14:textId="77777777" w:rsidR="006D6B32" w:rsidRDefault="006D6B32" w:rsidP="006D6B32">
      <w:pPr>
        <w:tabs>
          <w:tab w:val="left" w:pos="2596"/>
        </w:tabs>
        <w:jc w:val="both"/>
      </w:pPr>
      <w:r w:rsidRPr="0030484F">
        <w:rPr>
          <w:b/>
          <w:bCs/>
          <w:i/>
          <w:iCs/>
          <w:u w:val="single"/>
        </w:rPr>
        <w:t>Proposal 5</w:t>
      </w:r>
      <w:r w:rsidRPr="0030484F">
        <w:t xml:space="preserve">: </w:t>
      </w:r>
      <w:r w:rsidRPr="006D6B32">
        <w:rPr>
          <w:i/>
          <w:iCs/>
        </w:rPr>
        <w:t>It is proposed to investigate the use of dynamic frozen bits in the design of polar codes, including convolutional precoding schemes,</w:t>
      </w:r>
      <w:r>
        <w:rPr>
          <w:i/>
          <w:iCs/>
        </w:rPr>
        <w:t xml:space="preserve"> to </w:t>
      </w:r>
      <w:r w:rsidRPr="006D6B32">
        <w:rPr>
          <w:i/>
          <w:iCs/>
        </w:rPr>
        <w:t>further enhance the error correction capability of control channel codes.</w:t>
      </w:r>
    </w:p>
    <w:p w14:paraId="5592A09A" w14:textId="77777777" w:rsidR="000827D7" w:rsidRPr="0011679E" w:rsidRDefault="000827D7" w:rsidP="000827D7">
      <w:pPr>
        <w:jc w:val="both"/>
        <w:rPr>
          <w:bCs/>
          <w:color w:val="000000" w:themeColor="text1"/>
        </w:rPr>
      </w:pPr>
    </w:p>
    <w:p w14:paraId="1DFBBA4E" w14:textId="66DE7412" w:rsidR="000827D7" w:rsidRPr="00D10C3F" w:rsidRDefault="00D10C3F" w:rsidP="00D10C3F">
      <w:pPr>
        <w:tabs>
          <w:tab w:val="left" w:pos="2596"/>
        </w:tabs>
        <w:jc w:val="both"/>
        <w:rPr>
          <w:i/>
          <w:iCs/>
        </w:rPr>
      </w:pPr>
      <w:r w:rsidRPr="00B37E4E">
        <w:rPr>
          <w:b/>
          <w:bCs/>
          <w:i/>
          <w:iCs/>
          <w:u w:val="single"/>
        </w:rPr>
        <w:t xml:space="preserve">Proposal </w:t>
      </w:r>
      <w:r>
        <w:rPr>
          <w:b/>
          <w:bCs/>
          <w:i/>
          <w:iCs/>
          <w:u w:val="single"/>
        </w:rPr>
        <w:t>6</w:t>
      </w:r>
      <w:r w:rsidRPr="00B37E4E">
        <w:rPr>
          <w:b/>
          <w:bCs/>
          <w:i/>
          <w:iCs/>
        </w:rPr>
        <w:t>:</w:t>
      </w:r>
      <w:r w:rsidRPr="00B37E4E">
        <w:rPr>
          <w:i/>
          <w:iCs/>
        </w:rPr>
        <w:t xml:space="preserve"> </w:t>
      </w:r>
      <w:r w:rsidRPr="00A848D1">
        <w:rPr>
          <w:i/>
          <w:iCs/>
        </w:rPr>
        <w:t>It is proposed to improve the FAR performance for neighboring UEs in PDCCH by employing a UE-specific codeword scrambler. The scrambler would enhance the randomness of unintended PDCCH codewords, thereby reducing the likelihood of false alarms.</w:t>
      </w:r>
    </w:p>
    <w:p w14:paraId="3BE1B087" w14:textId="2978E95E" w:rsidR="000827D7" w:rsidRPr="00D10C3F" w:rsidRDefault="00D10C3F" w:rsidP="00D10C3F">
      <w:pPr>
        <w:spacing w:before="240" w:after="240"/>
        <w:jc w:val="both"/>
        <w:rPr>
          <w:rFonts w:eastAsia="Times New Roman"/>
          <w:i/>
          <w:iCs/>
          <w:color w:val="000000" w:themeColor="text1"/>
        </w:rPr>
      </w:pPr>
      <w:r w:rsidRPr="69463B3D">
        <w:rPr>
          <w:rFonts w:eastAsia="Times New Roman"/>
          <w:b/>
          <w:bCs/>
          <w:i/>
          <w:iCs/>
          <w:color w:val="000000" w:themeColor="text1"/>
          <w:u w:val="single"/>
        </w:rPr>
        <w:t xml:space="preserve">Proposal </w:t>
      </w:r>
      <w:r>
        <w:rPr>
          <w:rFonts w:eastAsia="Times New Roman"/>
          <w:b/>
          <w:bCs/>
          <w:i/>
          <w:iCs/>
          <w:color w:val="000000" w:themeColor="text1"/>
          <w:u w:val="single"/>
        </w:rPr>
        <w:t>7</w:t>
      </w:r>
      <w:r w:rsidRPr="69463B3D">
        <w:rPr>
          <w:rFonts w:eastAsia="Times New Roman"/>
          <w:b/>
          <w:bCs/>
          <w:i/>
          <w:iCs/>
          <w:color w:val="000000" w:themeColor="text1"/>
        </w:rPr>
        <w:t>:</w:t>
      </w:r>
      <w:r w:rsidRPr="69463B3D">
        <w:rPr>
          <w:rFonts w:eastAsia="Times New Roman"/>
          <w:i/>
          <w:iCs/>
          <w:color w:val="000000" w:themeColor="text1"/>
        </w:rPr>
        <w:t xml:space="preserve"> </w:t>
      </w:r>
      <w:r w:rsidR="000E52DF">
        <w:rPr>
          <w:rFonts w:eastAsia="Times New Roman"/>
          <w:i/>
          <w:iCs/>
          <w:color w:val="000000" w:themeColor="text1"/>
        </w:rPr>
        <w:t>It is proposed</w:t>
      </w:r>
      <w:r w:rsidR="000E52DF" w:rsidRPr="69463B3D">
        <w:rPr>
          <w:rFonts w:eastAsia="Times New Roman"/>
          <w:i/>
          <w:iCs/>
          <w:color w:val="000000" w:themeColor="text1"/>
        </w:rPr>
        <w:t xml:space="preserve"> to consider new </w:t>
      </w:r>
      <w:r w:rsidR="000E52DF">
        <w:rPr>
          <w:rFonts w:eastAsia="Times New Roman"/>
          <w:i/>
          <w:iCs/>
          <w:color w:val="000000" w:themeColor="text1"/>
        </w:rPr>
        <w:t xml:space="preserve">LDPC </w:t>
      </w:r>
      <w:r w:rsidR="000E52DF" w:rsidRPr="69463B3D">
        <w:rPr>
          <w:rFonts w:eastAsia="Times New Roman"/>
          <w:i/>
          <w:iCs/>
          <w:color w:val="000000" w:themeColor="text1"/>
        </w:rPr>
        <w:t>base graph design to support high throughput use cases by optimizing the performance in the small number of iterations, without losing performance in the large number of iterations compared to 5G NR.</w:t>
      </w:r>
      <w:r w:rsidRPr="69463B3D">
        <w:rPr>
          <w:rFonts w:eastAsia="Times New Roman"/>
          <w:i/>
          <w:iCs/>
          <w:color w:val="000000" w:themeColor="text1"/>
        </w:rPr>
        <w:t xml:space="preserve"> </w:t>
      </w:r>
    </w:p>
    <w:p w14:paraId="5003BE28" w14:textId="135DE32E" w:rsidR="000827D7" w:rsidRPr="00D10C3F" w:rsidRDefault="00D10C3F" w:rsidP="00D10C3F">
      <w:pPr>
        <w:spacing w:before="240" w:after="240"/>
        <w:jc w:val="both"/>
      </w:pPr>
      <w:r w:rsidRPr="3CD70229">
        <w:rPr>
          <w:rFonts w:eastAsia="Times New Roman"/>
          <w:b/>
          <w:bCs/>
          <w:i/>
          <w:iCs/>
          <w:color w:val="000000" w:themeColor="text1"/>
          <w:u w:val="single"/>
        </w:rPr>
        <w:t>Proposal</w:t>
      </w:r>
      <w:r>
        <w:rPr>
          <w:rFonts w:eastAsia="Times New Roman"/>
          <w:b/>
          <w:bCs/>
          <w:i/>
          <w:iCs/>
          <w:color w:val="000000" w:themeColor="text1"/>
          <w:u w:val="single"/>
        </w:rPr>
        <w:t xml:space="preserve"> 8</w:t>
      </w:r>
      <w:r w:rsidRPr="3CD70229">
        <w:rPr>
          <w:rFonts w:eastAsia="Times New Roman"/>
          <w:b/>
          <w:bCs/>
          <w:i/>
          <w:iCs/>
          <w:color w:val="000000" w:themeColor="text1"/>
        </w:rPr>
        <w:t>:</w:t>
      </w:r>
      <w:r w:rsidRPr="3CD70229">
        <w:rPr>
          <w:rFonts w:eastAsia="Times New Roman"/>
          <w:i/>
          <w:iCs/>
          <w:color w:val="000000" w:themeColor="text1"/>
        </w:rPr>
        <w:t xml:space="preserve"> </w:t>
      </w:r>
      <w:r w:rsidR="000E52DF" w:rsidRPr="00F172EB">
        <w:rPr>
          <w:rFonts w:eastAsia="Times New Roman"/>
          <w:i/>
          <w:iCs/>
          <w:color w:val="000000" w:themeColor="text1"/>
        </w:rPr>
        <w:t>It is proposed to support high</w:t>
      </w:r>
      <w:r w:rsidR="000E52DF" w:rsidRPr="00F172EB">
        <w:rPr>
          <w:rFonts w:eastAsia="Times New Roman"/>
          <w:i/>
          <w:iCs/>
          <w:color w:val="000000" w:themeColor="text1"/>
        </w:rPr>
        <w:noBreakHyphen/>
        <w:t>throughput use cases by enabling a range of high code rates with the incremental redundancy code, rather than limiting the design to a single code rate.</w:t>
      </w:r>
    </w:p>
    <w:p w14:paraId="14A9FAA7" w14:textId="30D9ACD9" w:rsidR="000827D7" w:rsidRPr="00D10C3F" w:rsidRDefault="00D10C3F" w:rsidP="00D10C3F">
      <w:pPr>
        <w:spacing w:before="240" w:after="240"/>
        <w:jc w:val="both"/>
        <w:rPr>
          <w:rFonts w:eastAsia="Times New Roman"/>
          <w:i/>
          <w:iCs/>
          <w:color w:val="000000" w:themeColor="text1"/>
        </w:rPr>
      </w:pPr>
      <w:r w:rsidRPr="3CD70229">
        <w:rPr>
          <w:rFonts w:eastAsia="Times New Roman"/>
          <w:b/>
          <w:bCs/>
          <w:i/>
          <w:iCs/>
          <w:color w:val="000000" w:themeColor="text1"/>
          <w:u w:val="single"/>
        </w:rPr>
        <w:t>Proposal</w:t>
      </w:r>
      <w:r>
        <w:rPr>
          <w:rFonts w:eastAsia="Times New Roman"/>
          <w:b/>
          <w:bCs/>
          <w:i/>
          <w:iCs/>
          <w:color w:val="000000" w:themeColor="text1"/>
          <w:u w:val="single"/>
        </w:rPr>
        <w:t xml:space="preserve"> 9</w:t>
      </w:r>
      <w:r w:rsidRPr="3CD70229">
        <w:rPr>
          <w:rFonts w:eastAsia="Times New Roman"/>
          <w:b/>
          <w:bCs/>
          <w:i/>
          <w:iCs/>
          <w:color w:val="000000" w:themeColor="text1"/>
        </w:rPr>
        <w:t>:</w:t>
      </w:r>
      <w:r w:rsidRPr="3CD70229">
        <w:rPr>
          <w:rFonts w:eastAsia="Times New Roman"/>
          <w:i/>
          <w:iCs/>
          <w:color w:val="000000" w:themeColor="text1"/>
        </w:rPr>
        <w:t xml:space="preserve"> </w:t>
      </w:r>
      <w:r w:rsidR="000E52DF">
        <w:rPr>
          <w:rFonts w:eastAsia="Times New Roman"/>
          <w:i/>
          <w:iCs/>
          <w:color w:val="000000" w:themeColor="text1"/>
        </w:rPr>
        <w:t>It is proposed</w:t>
      </w:r>
      <w:r w:rsidR="000E52DF" w:rsidRPr="3CD70229">
        <w:rPr>
          <w:rFonts w:eastAsia="Times New Roman"/>
          <w:i/>
          <w:iCs/>
          <w:color w:val="000000" w:themeColor="text1"/>
        </w:rPr>
        <w:t xml:space="preserve"> to consider supporting high throughput use cases by </w:t>
      </w:r>
      <w:r w:rsidR="000E52DF">
        <w:rPr>
          <w:rFonts w:eastAsia="Times New Roman"/>
          <w:i/>
          <w:iCs/>
          <w:color w:val="000000" w:themeColor="text1"/>
        </w:rPr>
        <w:t>increasing the maximum lifting size up to 1024.</w:t>
      </w:r>
    </w:p>
    <w:p w14:paraId="507B2151" w14:textId="2A5A8632" w:rsidR="000827D7" w:rsidRPr="00DA0CCD" w:rsidRDefault="00DA0CCD" w:rsidP="00DA0CCD">
      <w:pPr>
        <w:spacing w:before="240" w:after="240"/>
        <w:jc w:val="both"/>
        <w:rPr>
          <w:rFonts w:eastAsia="Times New Roman"/>
          <w:i/>
          <w:iCs/>
          <w:color w:val="000000" w:themeColor="text1"/>
        </w:rPr>
      </w:pPr>
      <w:r w:rsidRPr="3CD70229">
        <w:rPr>
          <w:rFonts w:eastAsia="Times New Roman"/>
          <w:b/>
          <w:bCs/>
          <w:i/>
          <w:iCs/>
          <w:color w:val="000000" w:themeColor="text1"/>
          <w:u w:val="single"/>
        </w:rPr>
        <w:t>Proposal</w:t>
      </w:r>
      <w:r>
        <w:rPr>
          <w:rFonts w:eastAsia="Times New Roman"/>
          <w:b/>
          <w:bCs/>
          <w:i/>
          <w:iCs/>
          <w:color w:val="000000" w:themeColor="text1"/>
          <w:u w:val="single"/>
        </w:rPr>
        <w:t xml:space="preserve"> 10</w:t>
      </w:r>
      <w:r w:rsidRPr="3CD70229">
        <w:rPr>
          <w:rFonts w:eastAsia="Times New Roman"/>
          <w:b/>
          <w:bCs/>
          <w:i/>
          <w:iCs/>
          <w:color w:val="000000" w:themeColor="text1"/>
        </w:rPr>
        <w:t>:</w:t>
      </w:r>
      <w:r w:rsidRPr="3CD70229">
        <w:rPr>
          <w:rFonts w:eastAsia="Times New Roman"/>
          <w:i/>
          <w:iCs/>
          <w:color w:val="000000" w:themeColor="text1"/>
        </w:rPr>
        <w:t xml:space="preserve"> </w:t>
      </w:r>
      <w:r w:rsidR="000E52DF">
        <w:rPr>
          <w:rFonts w:eastAsia="Times New Roman"/>
          <w:i/>
          <w:iCs/>
          <w:color w:val="000000" w:themeColor="text1"/>
        </w:rPr>
        <w:t>It is proposed</w:t>
      </w:r>
      <w:r w:rsidR="000E52DF" w:rsidRPr="3CD70229">
        <w:rPr>
          <w:rFonts w:eastAsia="Times New Roman"/>
          <w:i/>
          <w:iCs/>
          <w:color w:val="000000" w:themeColor="text1"/>
        </w:rPr>
        <w:t xml:space="preserve"> to </w:t>
      </w:r>
      <w:r w:rsidR="000E52DF" w:rsidRPr="00F172EB">
        <w:rPr>
          <w:rFonts w:eastAsia="Times New Roman"/>
          <w:i/>
          <w:iCs/>
          <w:color w:val="000000" w:themeColor="text1"/>
        </w:rPr>
        <w:t xml:space="preserve">support new base graph designs with </w:t>
      </w:r>
      <w:r w:rsidR="000E52DF">
        <w:rPr>
          <w:rFonts w:eastAsia="Times New Roman"/>
          <w:i/>
          <w:iCs/>
          <w:color w:val="000000" w:themeColor="text1"/>
        </w:rPr>
        <w:t>compact</w:t>
      </w:r>
      <w:r w:rsidR="000E52DF" w:rsidRPr="00F172EB">
        <w:rPr>
          <w:rFonts w:eastAsia="Times New Roman"/>
          <w:i/>
          <w:iCs/>
          <w:color w:val="000000" w:themeColor="text1"/>
        </w:rPr>
        <w:t xml:space="preserve"> sizes to better address low</w:t>
      </w:r>
      <w:r w:rsidR="000E52DF" w:rsidRPr="00F172EB">
        <w:rPr>
          <w:rFonts w:eastAsia="Times New Roman"/>
          <w:i/>
          <w:iCs/>
          <w:color w:val="000000" w:themeColor="text1"/>
        </w:rPr>
        <w:noBreakHyphen/>
        <w:t>power use cases.</w:t>
      </w:r>
      <w:r>
        <w:rPr>
          <w:rFonts w:eastAsia="Times New Roman"/>
          <w:i/>
          <w:iCs/>
          <w:color w:val="000000" w:themeColor="text1"/>
        </w:rPr>
        <w:t xml:space="preserve"> </w:t>
      </w:r>
    </w:p>
    <w:p w14:paraId="50EDA80F" w14:textId="7EF59CBE" w:rsidR="00DA0CCD" w:rsidRDefault="00DA0CCD" w:rsidP="00DA0CCD">
      <w:pPr>
        <w:jc w:val="both"/>
        <w:rPr>
          <w:i/>
          <w:iCs/>
        </w:rPr>
      </w:pPr>
      <w:r w:rsidRPr="00B37E4E">
        <w:rPr>
          <w:b/>
          <w:bCs/>
          <w:i/>
          <w:iCs/>
          <w:u w:val="single"/>
        </w:rPr>
        <w:t>Proposal</w:t>
      </w:r>
      <w:r>
        <w:rPr>
          <w:b/>
          <w:bCs/>
          <w:i/>
          <w:iCs/>
          <w:u w:val="single"/>
        </w:rPr>
        <w:t xml:space="preserve"> 11</w:t>
      </w:r>
      <w:r w:rsidRPr="00B37E4E">
        <w:rPr>
          <w:b/>
          <w:bCs/>
          <w:i/>
          <w:iCs/>
        </w:rPr>
        <w:t>:</w:t>
      </w:r>
      <w:r w:rsidRPr="00B37E4E">
        <w:rPr>
          <w:i/>
          <w:iCs/>
        </w:rPr>
        <w:t xml:space="preserve"> </w:t>
      </w:r>
      <w:r w:rsidR="009B6743">
        <w:rPr>
          <w:i/>
          <w:iCs/>
        </w:rPr>
        <w:t xml:space="preserve">It is proposed to consider </w:t>
      </w:r>
      <w:r w:rsidR="009B6743" w:rsidRPr="00DE2C0D">
        <w:rPr>
          <w:i/>
          <w:iCs/>
        </w:rPr>
        <w:t>packet level coding of code blocks to improve</w:t>
      </w:r>
      <w:r w:rsidR="009B6743">
        <w:rPr>
          <w:i/>
          <w:iCs/>
        </w:rPr>
        <w:t xml:space="preserve"> both</w:t>
      </w:r>
      <w:r w:rsidR="009B6743" w:rsidRPr="00DE2C0D">
        <w:rPr>
          <w:i/>
          <w:iCs/>
        </w:rPr>
        <w:t xml:space="preserve"> retransmission rate and spectral efficiency.</w:t>
      </w:r>
    </w:p>
    <w:p w14:paraId="5777BEEC" w14:textId="77777777" w:rsidR="00B71189" w:rsidRDefault="00B71189" w:rsidP="00DA0CCD">
      <w:pPr>
        <w:jc w:val="both"/>
        <w:rPr>
          <w:i/>
          <w:iCs/>
        </w:rPr>
      </w:pPr>
    </w:p>
    <w:p w14:paraId="4B8DCFFE" w14:textId="77777777" w:rsidR="009B6743" w:rsidRPr="0011679E" w:rsidRDefault="00B71189" w:rsidP="009B6743">
      <w:pPr>
        <w:jc w:val="both"/>
        <w:rPr>
          <w:bCs/>
          <w:color w:val="000000" w:themeColor="text1"/>
        </w:rPr>
      </w:pPr>
      <w:r w:rsidRPr="00B37E4E">
        <w:rPr>
          <w:b/>
          <w:bCs/>
          <w:i/>
          <w:iCs/>
          <w:u w:val="single"/>
        </w:rPr>
        <w:t xml:space="preserve">Proposal </w:t>
      </w:r>
      <w:r>
        <w:rPr>
          <w:b/>
          <w:bCs/>
          <w:i/>
          <w:iCs/>
          <w:u w:val="single"/>
        </w:rPr>
        <w:t>12</w:t>
      </w:r>
      <w:r w:rsidRPr="00B37E4E">
        <w:rPr>
          <w:b/>
          <w:bCs/>
          <w:i/>
          <w:iCs/>
        </w:rPr>
        <w:t>:</w:t>
      </w:r>
      <w:r w:rsidRPr="00B37E4E">
        <w:rPr>
          <w:i/>
          <w:iCs/>
        </w:rPr>
        <w:t xml:space="preserve"> </w:t>
      </w:r>
      <w:r w:rsidR="009B6743">
        <w:rPr>
          <w:i/>
          <w:iCs/>
        </w:rPr>
        <w:t xml:space="preserve">It is proposed to define the evaluation and decoder assumptions, based on Tables 1 and 2. </w:t>
      </w:r>
    </w:p>
    <w:p w14:paraId="7C822665" w14:textId="1A711BB1" w:rsidR="00B71189" w:rsidRDefault="00B71189" w:rsidP="00DA0CCD">
      <w:pPr>
        <w:jc w:val="both"/>
        <w:rPr>
          <w:color w:val="000000"/>
        </w:rPr>
      </w:pPr>
    </w:p>
    <w:p w14:paraId="552D30F0" w14:textId="555E8151" w:rsidR="00B71189" w:rsidRPr="0011679E" w:rsidRDefault="00B71189" w:rsidP="00B71189">
      <w:pPr>
        <w:jc w:val="both"/>
        <w:rPr>
          <w:bCs/>
          <w:color w:val="000000" w:themeColor="text1"/>
        </w:rPr>
      </w:pPr>
      <w:r w:rsidRPr="00B37E4E">
        <w:rPr>
          <w:b/>
          <w:bCs/>
          <w:i/>
          <w:iCs/>
          <w:u w:val="single"/>
        </w:rPr>
        <w:t xml:space="preserve">Proposal </w:t>
      </w:r>
      <w:r>
        <w:rPr>
          <w:b/>
          <w:bCs/>
          <w:i/>
          <w:iCs/>
          <w:u w:val="single"/>
        </w:rPr>
        <w:t>13</w:t>
      </w:r>
      <w:r w:rsidRPr="00B37E4E">
        <w:rPr>
          <w:b/>
          <w:bCs/>
          <w:i/>
          <w:iCs/>
        </w:rPr>
        <w:t>:</w:t>
      </w:r>
      <w:r w:rsidRPr="00B37E4E">
        <w:rPr>
          <w:i/>
          <w:iCs/>
        </w:rPr>
        <w:t xml:space="preserve"> </w:t>
      </w:r>
      <w:r w:rsidR="009B6743" w:rsidRPr="00B71189">
        <w:rPr>
          <w:i/>
          <w:iCs/>
        </w:rPr>
        <w:t>It is proposed to refine the FAR requirements by differentiating across categories based on their rarity and by restricting the requirements to operating SNR ranges corresponding to practical BLER levels.</w:t>
      </w:r>
    </w:p>
    <w:p w14:paraId="63D25181" w14:textId="77777777" w:rsidR="00B71189" w:rsidRPr="00DE2C0D" w:rsidRDefault="00B71189" w:rsidP="00DA0CCD">
      <w:pPr>
        <w:jc w:val="both"/>
        <w:rPr>
          <w:color w:val="000000"/>
        </w:rPr>
      </w:pPr>
    </w:p>
    <w:p w14:paraId="610A85A1" w14:textId="77777777" w:rsidR="000827D7" w:rsidRDefault="000827D7" w:rsidP="000827D7">
      <w:pPr>
        <w:jc w:val="both"/>
        <w:rPr>
          <w:bCs/>
          <w:i/>
          <w:iCs/>
        </w:rPr>
      </w:pPr>
    </w:p>
    <w:p w14:paraId="082C800E" w14:textId="77777777" w:rsidR="00DA0CCD" w:rsidRPr="00B64C05" w:rsidRDefault="00DA0CCD" w:rsidP="000827D7">
      <w:pPr>
        <w:jc w:val="both"/>
        <w:rPr>
          <w:bCs/>
          <w:i/>
          <w:iCs/>
        </w:rPr>
      </w:pPr>
    </w:p>
    <w:p w14:paraId="6BB567CC" w14:textId="77777777" w:rsidR="000827D7" w:rsidRPr="00A6576F" w:rsidRDefault="000827D7" w:rsidP="000827D7">
      <w:pPr>
        <w:pStyle w:val="Heading1"/>
      </w:pPr>
      <w:r w:rsidRPr="00A6576F">
        <w:t>References</w:t>
      </w:r>
    </w:p>
    <w:p w14:paraId="64C5E8A6" w14:textId="71383915" w:rsidR="00B4261B" w:rsidRPr="00B4261B" w:rsidRDefault="00B4261B" w:rsidP="00B4261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2" w:name="_Ref204679176"/>
      <w:bookmarkStart w:id="13" w:name="_Ref172900491"/>
      <w:bookmarkStart w:id="14" w:name="_Ref146048113"/>
      <w:bookmarkStart w:id="15" w:name="_Ref146638431"/>
      <w:bookmarkStart w:id="16" w:name="_Ref49784738"/>
      <w:bookmarkStart w:id="17" w:name="_Ref100217924"/>
      <w:bookmarkStart w:id="18" w:name="_Ref124153647"/>
      <w:bookmarkStart w:id="19" w:name="_Ref109038266"/>
      <w:bookmarkStart w:id="20" w:name="OLE_LINK1"/>
      <w:bookmarkStart w:id="21" w:name="OLE_LINK2"/>
      <w:bookmarkStart w:id="22" w:name="_Ref99716514"/>
      <w:bookmarkStart w:id="23" w:name="_Ref46220695"/>
      <w:bookmarkStart w:id="24" w:name="_Ref156394703"/>
      <w:r>
        <w:t>3GP</w:t>
      </w:r>
      <w:r w:rsidRPr="00B4261B">
        <w:t xml:space="preserve">P </w:t>
      </w:r>
      <w:r w:rsidRPr="00B4261B">
        <w:rPr>
          <w:rFonts w:hint="eastAsia"/>
          <w:lang w:val="en-GB"/>
        </w:rPr>
        <w:t>R1-2506590</w:t>
      </w:r>
      <w:r>
        <w:rPr>
          <w:lang w:val="en-GB"/>
        </w:rPr>
        <w:t xml:space="preserve">, </w:t>
      </w:r>
      <w:r w:rsidRPr="00B4261B">
        <w:rPr>
          <w:bCs/>
        </w:rPr>
        <w:t xml:space="preserve">FL summary#1 </w:t>
      </w:r>
      <w:r w:rsidRPr="00B4261B">
        <w:rPr>
          <w:rFonts w:hint="eastAsia"/>
          <w:bCs/>
        </w:rPr>
        <w:t>for d</w:t>
      </w:r>
      <w:r w:rsidRPr="00B4261B">
        <w:rPr>
          <w:bCs/>
        </w:rPr>
        <w:t>ata channel coding</w:t>
      </w:r>
    </w:p>
    <w:p w14:paraId="1BAD313D" w14:textId="7150A83F" w:rsidR="00B4261B" w:rsidRDefault="00B4261B" w:rsidP="00B4261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t xml:space="preserve">3GPP R1-2506611, </w:t>
      </w:r>
      <w:r w:rsidRPr="00B4261B">
        <w:t>FL summary #3 for AI 11.4.1 on Control Channel Coding</w:t>
      </w:r>
    </w:p>
    <w:p w14:paraId="295BF60C" w14:textId="0CC10ABF" w:rsidR="000827D7" w:rsidRPr="005A6FA9" w:rsidRDefault="000827D7" w:rsidP="000827D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t>RP-251881, “</w:t>
      </w:r>
      <w:r w:rsidRPr="005A6FA9">
        <w:rPr>
          <w:bCs/>
          <w:lang w:val="en-GB"/>
        </w:rPr>
        <w:t>New SID: Study on 6G Radio</w:t>
      </w:r>
      <w:r>
        <w:rPr>
          <w:bCs/>
          <w:lang w:val="en-GB"/>
        </w:rPr>
        <w:t>,” Jun. 2025.</w:t>
      </w:r>
      <w:bookmarkEnd w:id="12"/>
      <w:r>
        <w:rPr>
          <w:bCs/>
          <w:lang w:val="en-GB"/>
        </w:rPr>
        <w:t xml:space="preserve"> </w:t>
      </w:r>
      <w:bookmarkEnd w:id="13"/>
      <w:bookmarkEnd w:id="14"/>
      <w:bookmarkEnd w:id="15"/>
      <w:bookmarkEnd w:id="16"/>
      <w:bookmarkEnd w:id="17"/>
      <w:bookmarkEnd w:id="18"/>
      <w:bookmarkEnd w:id="19"/>
      <w:bookmarkEnd w:id="20"/>
      <w:bookmarkEnd w:id="21"/>
      <w:bookmarkEnd w:id="22"/>
      <w:bookmarkEnd w:id="23"/>
      <w:bookmarkEnd w:id="24"/>
    </w:p>
    <w:p w14:paraId="47FAE447" w14:textId="77777777" w:rsidR="000827D7" w:rsidRDefault="000827D7" w:rsidP="000827D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5" w:name="_Ref204777751"/>
      <w:r w:rsidRPr="00884150">
        <w:t>ITU-R M. 2160, Framework and overall objectives of the future development of IMT for 2030 and beyond, Nov. 2023.</w:t>
      </w:r>
      <w:bookmarkEnd w:id="25"/>
      <w:r w:rsidRPr="00884150">
        <w:t xml:space="preserve"> </w:t>
      </w:r>
    </w:p>
    <w:p w14:paraId="7F14614A" w14:textId="77777777" w:rsidR="000827D7" w:rsidRDefault="000827D7" w:rsidP="000827D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lang w:val="en-GB"/>
        </w:rPr>
      </w:pPr>
      <w:bookmarkStart w:id="26" w:name="_Ref204778126"/>
      <w:r w:rsidRPr="0011679E">
        <w:t>3GPP T</w:t>
      </w:r>
      <w:r>
        <w:t>R</w:t>
      </w:r>
      <w:r w:rsidRPr="0011679E">
        <w:t xml:space="preserve"> 38.802, </w:t>
      </w:r>
      <w:r w:rsidRPr="0011679E">
        <w:rPr>
          <w:rFonts w:hint="eastAsia"/>
          <w:lang w:val="en-GB"/>
        </w:rPr>
        <w:t xml:space="preserve">Study on </w:t>
      </w:r>
      <w:r>
        <w:rPr>
          <w:lang w:val="en-GB"/>
        </w:rPr>
        <w:t>n</w:t>
      </w:r>
      <w:r w:rsidRPr="0011679E">
        <w:rPr>
          <w:lang w:val="en-GB"/>
        </w:rPr>
        <w:t xml:space="preserve">ew </w:t>
      </w:r>
      <w:r>
        <w:rPr>
          <w:lang w:val="en-GB"/>
        </w:rPr>
        <w:t>r</w:t>
      </w:r>
      <w:r w:rsidRPr="0011679E">
        <w:rPr>
          <w:lang w:val="en-GB"/>
        </w:rPr>
        <w:t xml:space="preserve">adio </w:t>
      </w:r>
      <w:r>
        <w:rPr>
          <w:lang w:val="en-GB"/>
        </w:rPr>
        <w:t>a</w:t>
      </w:r>
      <w:r w:rsidRPr="0011679E">
        <w:rPr>
          <w:lang w:val="en-GB"/>
        </w:rPr>
        <w:t xml:space="preserve">ccess </w:t>
      </w:r>
      <w:r>
        <w:rPr>
          <w:lang w:val="en-GB"/>
        </w:rPr>
        <w:t>t</w:t>
      </w:r>
      <w:r w:rsidRPr="0011679E">
        <w:rPr>
          <w:lang w:val="en-GB"/>
        </w:rPr>
        <w:t>echnology</w:t>
      </w:r>
      <w:r>
        <w:rPr>
          <w:lang w:val="en-GB"/>
        </w:rPr>
        <w:t xml:space="preserve"> p</w:t>
      </w:r>
      <w:r w:rsidRPr="0011679E">
        <w:rPr>
          <w:lang w:val="en-GB"/>
        </w:rPr>
        <w:t xml:space="preserve">hysical </w:t>
      </w:r>
      <w:r>
        <w:rPr>
          <w:lang w:val="en-GB"/>
        </w:rPr>
        <w:t>l</w:t>
      </w:r>
      <w:r w:rsidRPr="0011679E">
        <w:rPr>
          <w:lang w:val="en-GB"/>
        </w:rPr>
        <w:t xml:space="preserve">ayer </w:t>
      </w:r>
      <w:r>
        <w:rPr>
          <w:lang w:val="en-GB"/>
        </w:rPr>
        <w:t>a</w:t>
      </w:r>
      <w:r w:rsidRPr="0011679E">
        <w:rPr>
          <w:lang w:val="en-GB"/>
        </w:rPr>
        <w:t>spects</w:t>
      </w:r>
      <w:r>
        <w:rPr>
          <w:lang w:val="en-GB"/>
        </w:rPr>
        <w:t>, Sep. 2017.</w:t>
      </w:r>
      <w:bookmarkEnd w:id="26"/>
      <w:r>
        <w:rPr>
          <w:lang w:val="en-GB"/>
        </w:rPr>
        <w:t xml:space="preserve"> </w:t>
      </w:r>
    </w:p>
    <w:p w14:paraId="2EA68B02"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 xml:space="preserve">3GPP TS 38.212, “NR; Multiplexing and channel coding” (Release 15) </w:t>
      </w:r>
    </w:p>
    <w:p w14:paraId="462F857F"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R1-166935 “Channel Coding Techniques for Control Information in NR”, Ericsson</w:t>
      </w:r>
    </w:p>
    <w:p w14:paraId="282134B3"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 xml:space="preserve">“On List Decoding of 5G NR Polar Codes” by </w:t>
      </w:r>
      <w:proofErr w:type="spellStart"/>
      <w:r w:rsidRPr="00DA0CCD">
        <w:rPr>
          <w:lang w:val="en-GB"/>
        </w:rPr>
        <w:t>Pillet</w:t>
      </w:r>
      <w:proofErr w:type="spellEnd"/>
      <w:r w:rsidRPr="00DA0CCD">
        <w:rPr>
          <w:lang w:val="en-GB"/>
        </w:rPr>
        <w:t xml:space="preserve"> et al.</w:t>
      </w:r>
    </w:p>
    <w:p w14:paraId="1CEF8F85"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 xml:space="preserve">“Design of Polar Codes in 5G New Radio” by </w:t>
      </w:r>
      <w:proofErr w:type="spellStart"/>
      <w:r w:rsidRPr="00DA0CCD">
        <w:rPr>
          <w:lang w:val="en-GB"/>
        </w:rPr>
        <w:t>Bioglio</w:t>
      </w:r>
      <w:proofErr w:type="spellEnd"/>
      <w:r w:rsidRPr="00DA0CCD">
        <w:rPr>
          <w:lang w:val="en-GB"/>
        </w:rPr>
        <w:t xml:space="preserve"> et al.</w:t>
      </w:r>
    </w:p>
    <w:p w14:paraId="61A17555" w14:textId="38B28612"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“A low-latency list successive cancellation decoding implementation for polar codes” by Fan et al.</w:t>
      </w:r>
    </w:p>
    <w:p w14:paraId="74D41693" w14:textId="7198A250" w:rsidR="0011679E" w:rsidRPr="000827D7" w:rsidRDefault="0011679E" w:rsidP="000827D7"/>
    <w:sectPr w:rsidR="0011679E" w:rsidRPr="000827D7" w:rsidSect="00300063">
      <w:footerReference w:type="default" r:id="rId24"/>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6902BD" w14:textId="77777777" w:rsidR="00C33BF4" w:rsidRDefault="00C33BF4">
      <w:r>
        <w:separator/>
      </w:r>
    </w:p>
  </w:endnote>
  <w:endnote w:type="continuationSeparator" w:id="0">
    <w:p w14:paraId="3B1B7989" w14:textId="77777777" w:rsidR="00C33BF4" w:rsidRDefault="00C33BF4">
      <w:r>
        <w:continuationSeparator/>
      </w:r>
    </w:p>
  </w:endnote>
  <w:endnote w:type="continuationNotice" w:id="1">
    <w:p w14:paraId="641B3EA0" w14:textId="77777777" w:rsidR="00C33BF4" w:rsidRDefault="00C33B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w:altName w:val="Sylfaen"/>
    <w:panose1 w:val="00000500000000020000"/>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C8E508" w14:textId="77777777" w:rsidR="00C33BF4" w:rsidRDefault="00C33BF4">
      <w:r>
        <w:separator/>
      </w:r>
    </w:p>
  </w:footnote>
  <w:footnote w:type="continuationSeparator" w:id="0">
    <w:p w14:paraId="5A3775CA" w14:textId="77777777" w:rsidR="00C33BF4" w:rsidRDefault="00C33BF4">
      <w:r>
        <w:continuationSeparator/>
      </w:r>
    </w:p>
  </w:footnote>
  <w:footnote w:type="continuationNotice" w:id="1">
    <w:p w14:paraId="74D1FF05" w14:textId="77777777" w:rsidR="00C33BF4" w:rsidRDefault="00C33BF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6"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7"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1F261BA"/>
    <w:multiLevelType w:val="hybridMultilevel"/>
    <w:tmpl w:val="D29C282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56E7373"/>
    <w:multiLevelType w:val="hybridMultilevel"/>
    <w:tmpl w:val="8F844B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99A1C63"/>
    <w:multiLevelType w:val="hybridMultilevel"/>
    <w:tmpl w:val="56C06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E4A5AC2"/>
    <w:multiLevelType w:val="hybridMultilevel"/>
    <w:tmpl w:val="389AC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36E28E9"/>
    <w:multiLevelType w:val="hybridMultilevel"/>
    <w:tmpl w:val="4086A93A"/>
    <w:lvl w:ilvl="0" w:tplc="BC3868E0">
      <w:start w:val="5448"/>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4676CF9"/>
    <w:multiLevelType w:val="hybridMultilevel"/>
    <w:tmpl w:val="2AF42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2"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3"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D28300A"/>
    <w:multiLevelType w:val="hybridMultilevel"/>
    <w:tmpl w:val="3E442768"/>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1DBC65FA"/>
    <w:multiLevelType w:val="hybridMultilevel"/>
    <w:tmpl w:val="9C5285A8"/>
    <w:lvl w:ilvl="0" w:tplc="FFFFFFFF">
      <w:start w:val="1"/>
      <w:numFmt w:val="decimal"/>
      <w:lvlText w:val="%1."/>
      <w:lvlJc w:val="left"/>
      <w:pPr>
        <w:ind w:left="720"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9"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41"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44C3A57"/>
    <w:multiLevelType w:val="hybridMultilevel"/>
    <w:tmpl w:val="56E27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5" w15:restartNumberingAfterBreak="0">
    <w:nsid w:val="260972B1"/>
    <w:multiLevelType w:val="hybridMultilevel"/>
    <w:tmpl w:val="93D6126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69A2473"/>
    <w:multiLevelType w:val="hybridMultilevel"/>
    <w:tmpl w:val="03C87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843E54"/>
    <w:multiLevelType w:val="hybridMultilevel"/>
    <w:tmpl w:val="9648D7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9F26442"/>
    <w:multiLevelType w:val="hybridMultilevel"/>
    <w:tmpl w:val="11402C1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B825127"/>
    <w:multiLevelType w:val="hybridMultilevel"/>
    <w:tmpl w:val="26FCF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C307403"/>
    <w:multiLevelType w:val="multilevel"/>
    <w:tmpl w:val="7DF80382"/>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4" w15:restartNumberingAfterBreak="0">
    <w:nsid w:val="2D0970C9"/>
    <w:multiLevelType w:val="hybridMultilevel"/>
    <w:tmpl w:val="47EEE0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73A6323"/>
    <w:multiLevelType w:val="hybridMultilevel"/>
    <w:tmpl w:val="0332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66"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67"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9"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1"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75" w15:restartNumberingAfterBreak="0">
    <w:nsid w:val="47751471"/>
    <w:multiLevelType w:val="hybridMultilevel"/>
    <w:tmpl w:val="45E48F7C"/>
    <w:lvl w:ilvl="0" w:tplc="307C6586">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86D4748"/>
    <w:multiLevelType w:val="hybridMultilevel"/>
    <w:tmpl w:val="9C5285A8"/>
    <w:lvl w:ilvl="0" w:tplc="5C1AB27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89A50A1"/>
    <w:multiLevelType w:val="hybridMultilevel"/>
    <w:tmpl w:val="D9D0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91"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2" w15:restartNumberingAfterBreak="0">
    <w:nsid w:val="5CC07095"/>
    <w:multiLevelType w:val="hybridMultilevel"/>
    <w:tmpl w:val="A8AC6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4" w15:restartNumberingAfterBreak="0">
    <w:nsid w:val="614C7D02"/>
    <w:multiLevelType w:val="hybridMultilevel"/>
    <w:tmpl w:val="FDB81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1ED0A1E"/>
    <w:multiLevelType w:val="hybridMultilevel"/>
    <w:tmpl w:val="2AF423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99" w15:restartNumberingAfterBreak="0">
    <w:nsid w:val="70511E53"/>
    <w:multiLevelType w:val="hybridMultilevel"/>
    <w:tmpl w:val="56E277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05"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6" w15:restartNumberingAfterBreak="0">
    <w:nsid w:val="79FB63A6"/>
    <w:multiLevelType w:val="hybridMultilevel"/>
    <w:tmpl w:val="E77E7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B071D14"/>
    <w:multiLevelType w:val="hybridMultilevel"/>
    <w:tmpl w:val="8C2632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8" w15:restartNumberingAfterBreak="0">
    <w:nsid w:val="7B6357C1"/>
    <w:multiLevelType w:val="hybridMultilevel"/>
    <w:tmpl w:val="8968D794"/>
    <w:lvl w:ilvl="0" w:tplc="33C8DC0A">
      <w:start w:val="1"/>
      <w:numFmt w:val="decimal"/>
      <w:lvlText w:val="(%1)"/>
      <w:lvlJc w:val="left"/>
      <w:pPr>
        <w:ind w:left="360" w:hanging="360"/>
      </w:pPr>
      <w:rPr>
        <w:rFonts w:ascii="Times New Roman" w:eastAsia="Malgun Gothic" w:hAnsi="Times New Roman" w:cs="Times New Roman"/>
      </w:rPr>
    </w:lvl>
    <w:lvl w:ilvl="1" w:tplc="04090017">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15:restartNumberingAfterBreak="0">
    <w:nsid w:val="7B925540"/>
    <w:multiLevelType w:val="multilevel"/>
    <w:tmpl w:val="C242EC26"/>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0" w15:restartNumberingAfterBreak="0">
    <w:nsid w:val="7BC91B88"/>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70908860">
    <w:abstractNumId w:val="13"/>
  </w:num>
  <w:num w:numId="2" w16cid:durableId="1202403288">
    <w:abstractNumId w:val="80"/>
  </w:num>
  <w:num w:numId="3" w16cid:durableId="235363559">
    <w:abstractNumId w:val="65"/>
  </w:num>
  <w:num w:numId="4" w16cid:durableId="989679355">
    <w:abstractNumId w:val="70"/>
  </w:num>
  <w:num w:numId="5" w16cid:durableId="409810781">
    <w:abstractNumId w:val="57"/>
  </w:num>
  <w:num w:numId="6" w16cid:durableId="2081513416">
    <w:abstractNumId w:val="73"/>
  </w:num>
  <w:num w:numId="7" w16cid:durableId="1568495607">
    <w:abstractNumId w:val="88"/>
  </w:num>
  <w:num w:numId="8" w16cid:durableId="1929077284">
    <w:abstractNumId w:val="58"/>
  </w:num>
  <w:num w:numId="9" w16cid:durableId="69206241">
    <w:abstractNumId w:val="82"/>
  </w:num>
  <w:num w:numId="10" w16cid:durableId="1314335830">
    <w:abstractNumId w:val="6"/>
  </w:num>
  <w:num w:numId="11" w16cid:durableId="586155756">
    <w:abstractNumId w:val="72"/>
  </w:num>
  <w:num w:numId="12" w16cid:durableId="1461416379">
    <w:abstractNumId w:val="79"/>
  </w:num>
  <w:num w:numId="13" w16cid:durableId="131097616">
    <w:abstractNumId w:val="26"/>
  </w:num>
  <w:num w:numId="14" w16cid:durableId="1330669507">
    <w:abstractNumId w:val="87"/>
  </w:num>
  <w:num w:numId="15" w16cid:durableId="1544708605">
    <w:abstractNumId w:val="24"/>
  </w:num>
  <w:num w:numId="16" w16cid:durableId="1647202359">
    <w:abstractNumId w:val="68"/>
  </w:num>
  <w:num w:numId="17" w16cid:durableId="366611127">
    <w:abstractNumId w:val="5"/>
  </w:num>
  <w:num w:numId="18" w16cid:durableId="1176379521">
    <w:abstractNumId w:val="111"/>
  </w:num>
  <w:num w:numId="19" w16cid:durableId="494035189">
    <w:abstractNumId w:val="39"/>
  </w:num>
  <w:num w:numId="20" w16cid:durableId="1886402229">
    <w:abstractNumId w:val="104"/>
  </w:num>
  <w:num w:numId="21" w16cid:durableId="2128230243">
    <w:abstractNumId w:val="101"/>
  </w:num>
  <w:num w:numId="22" w16cid:durableId="31351445">
    <w:abstractNumId w:val="90"/>
  </w:num>
  <w:num w:numId="23" w16cid:durableId="1081098852">
    <w:abstractNumId w:val="11"/>
  </w:num>
  <w:num w:numId="24" w16cid:durableId="585111641">
    <w:abstractNumId w:val="21"/>
  </w:num>
  <w:num w:numId="25" w16cid:durableId="1769615368">
    <w:abstractNumId w:val="93"/>
  </w:num>
  <w:num w:numId="26" w16cid:durableId="1914119897">
    <w:abstractNumId w:val="46"/>
  </w:num>
  <w:num w:numId="27" w16cid:durableId="320233550">
    <w:abstractNumId w:val="35"/>
  </w:num>
  <w:num w:numId="28" w16cid:durableId="1797259966">
    <w:abstractNumId w:val="10"/>
  </w:num>
  <w:num w:numId="29" w16cid:durableId="1824543099">
    <w:abstractNumId w:val="86"/>
  </w:num>
  <w:num w:numId="30" w16cid:durableId="810824541">
    <w:abstractNumId w:val="18"/>
  </w:num>
  <w:num w:numId="31" w16cid:durableId="612783970">
    <w:abstractNumId w:val="114"/>
  </w:num>
  <w:num w:numId="32" w16cid:durableId="922572308">
    <w:abstractNumId w:val="100"/>
  </w:num>
  <w:num w:numId="33" w16cid:durableId="489830261">
    <w:abstractNumId w:val="61"/>
  </w:num>
  <w:num w:numId="34" w16cid:durableId="1596014999">
    <w:abstractNumId w:val="8"/>
  </w:num>
  <w:num w:numId="35" w16cid:durableId="654266786">
    <w:abstractNumId w:val="98"/>
  </w:num>
  <w:num w:numId="36" w16cid:durableId="1456556740">
    <w:abstractNumId w:val="97"/>
  </w:num>
  <w:num w:numId="37" w16cid:durableId="1670711974">
    <w:abstractNumId w:val="103"/>
  </w:num>
  <w:num w:numId="38" w16cid:durableId="1633756099">
    <w:abstractNumId w:val="55"/>
  </w:num>
  <w:num w:numId="39" w16cid:durableId="193033440">
    <w:abstractNumId w:val="33"/>
  </w:num>
  <w:num w:numId="40" w16cid:durableId="73898641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4"/>
  </w:num>
  <w:num w:numId="42" w16cid:durableId="1284337730">
    <w:abstractNumId w:val="83"/>
  </w:num>
  <w:num w:numId="43" w16cid:durableId="2051612355">
    <w:abstractNumId w:val="85"/>
  </w:num>
  <w:num w:numId="44" w16cid:durableId="633174886">
    <w:abstractNumId w:val="64"/>
  </w:num>
  <w:num w:numId="45" w16cid:durableId="598610638">
    <w:abstractNumId w:val="20"/>
  </w:num>
  <w:num w:numId="46" w16cid:durableId="1539970889">
    <w:abstractNumId w:val="113"/>
  </w:num>
  <w:num w:numId="47" w16cid:durableId="1428497448">
    <w:abstractNumId w:val="81"/>
  </w:num>
  <w:num w:numId="48" w16cid:durableId="1401251056">
    <w:abstractNumId w:val="30"/>
  </w:num>
  <w:num w:numId="49" w16cid:durableId="1726180276">
    <w:abstractNumId w:val="59"/>
  </w:num>
  <w:num w:numId="50" w16cid:durableId="169149039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31"/>
  </w:num>
  <w:num w:numId="52" w16cid:durableId="189804790">
    <w:abstractNumId w:val="66"/>
  </w:num>
  <w:num w:numId="53" w16cid:durableId="1845322957">
    <w:abstractNumId w:val="44"/>
  </w:num>
  <w:num w:numId="54" w16cid:durableId="1824882590">
    <w:abstractNumId w:val="32"/>
  </w:num>
  <w:num w:numId="55" w16cid:durableId="92751219">
    <w:abstractNumId w:val="74"/>
  </w:num>
  <w:num w:numId="56" w16cid:durableId="1836796095">
    <w:abstractNumId w:val="50"/>
  </w:num>
  <w:num w:numId="57" w16cid:durableId="1729187021">
    <w:abstractNumId w:val="34"/>
  </w:num>
  <w:num w:numId="58" w16cid:durableId="340620260">
    <w:abstractNumId w:val="40"/>
  </w:num>
  <w:num w:numId="59" w16cid:durableId="1263688658">
    <w:abstractNumId w:val="41"/>
  </w:num>
  <w:num w:numId="60" w16cid:durableId="600380691">
    <w:abstractNumId w:val="63"/>
  </w:num>
  <w:num w:numId="61" w16cid:durableId="1210800082">
    <w:abstractNumId w:val="96"/>
  </w:num>
  <w:num w:numId="62" w16cid:durableId="1960719537">
    <w:abstractNumId w:val="67"/>
  </w:num>
  <w:num w:numId="63" w16cid:durableId="311056957">
    <w:abstractNumId w:val="13"/>
  </w:num>
  <w:num w:numId="64" w16cid:durableId="1732264714">
    <w:abstractNumId w:val="13"/>
  </w:num>
  <w:num w:numId="65" w16cid:durableId="1661887532">
    <w:abstractNumId w:val="13"/>
  </w:num>
  <w:num w:numId="66" w16cid:durableId="2124617062">
    <w:abstractNumId w:val="13"/>
  </w:num>
  <w:num w:numId="67" w16cid:durableId="1170367462">
    <w:abstractNumId w:val="13"/>
  </w:num>
  <w:num w:numId="68" w16cid:durableId="1385057799">
    <w:abstractNumId w:val="13"/>
  </w:num>
  <w:num w:numId="69" w16cid:durableId="379982395">
    <w:abstractNumId w:val="13"/>
  </w:num>
  <w:num w:numId="70" w16cid:durableId="1620137346">
    <w:abstractNumId w:val="56"/>
  </w:num>
  <w:num w:numId="71" w16cid:durableId="827743934">
    <w:abstractNumId w:val="13"/>
  </w:num>
  <w:num w:numId="72" w16cid:durableId="946960583">
    <w:abstractNumId w:val="13"/>
  </w:num>
  <w:num w:numId="73" w16cid:durableId="692072580">
    <w:abstractNumId w:val="13"/>
  </w:num>
  <w:num w:numId="74" w16cid:durableId="1421176106">
    <w:abstractNumId w:val="13"/>
  </w:num>
  <w:num w:numId="75" w16cid:durableId="1407343263">
    <w:abstractNumId w:val="84"/>
  </w:num>
  <w:num w:numId="76" w16cid:durableId="1922788205">
    <w:abstractNumId w:val="9"/>
  </w:num>
  <w:num w:numId="77" w16cid:durableId="979652298">
    <w:abstractNumId w:val="91"/>
  </w:num>
  <w:num w:numId="78" w16cid:durableId="1556620130">
    <w:abstractNumId w:val="0"/>
  </w:num>
  <w:num w:numId="79" w16cid:durableId="2022975924">
    <w:abstractNumId w:val="69"/>
  </w:num>
  <w:num w:numId="80" w16cid:durableId="1355612854">
    <w:abstractNumId w:val="71"/>
  </w:num>
  <w:num w:numId="81" w16cid:durableId="769355262">
    <w:abstractNumId w:val="51"/>
  </w:num>
  <w:num w:numId="82" w16cid:durableId="1101604416">
    <w:abstractNumId w:val="27"/>
  </w:num>
  <w:num w:numId="83" w16cid:durableId="1129207471">
    <w:abstractNumId w:val="60"/>
  </w:num>
  <w:num w:numId="84" w16cid:durableId="644972332">
    <w:abstractNumId w:val="25"/>
  </w:num>
  <w:num w:numId="85" w16cid:durableId="513888336">
    <w:abstractNumId w:val="112"/>
  </w:num>
  <w:num w:numId="86" w16cid:durableId="322784612">
    <w:abstractNumId w:val="78"/>
  </w:num>
  <w:num w:numId="87" w16cid:durableId="573734850">
    <w:abstractNumId w:val="7"/>
  </w:num>
  <w:num w:numId="88" w16cid:durableId="1279331805">
    <w:abstractNumId w:val="23"/>
  </w:num>
  <w:num w:numId="89" w16cid:durableId="449323153">
    <w:abstractNumId w:val="102"/>
  </w:num>
  <w:num w:numId="90" w16cid:durableId="1165902571">
    <w:abstractNumId w:val="1"/>
  </w:num>
  <w:num w:numId="91" w16cid:durableId="1813867742">
    <w:abstractNumId w:val="2"/>
  </w:num>
  <w:num w:numId="92" w16cid:durableId="1184199591">
    <w:abstractNumId w:val="3"/>
  </w:num>
  <w:num w:numId="93" w16cid:durableId="2137982980">
    <w:abstractNumId w:val="105"/>
  </w:num>
  <w:num w:numId="94" w16cid:durableId="2051958724">
    <w:abstractNumId w:val="42"/>
  </w:num>
  <w:num w:numId="95" w16cid:durableId="858856039">
    <w:abstractNumId w:val="17"/>
  </w:num>
  <w:num w:numId="96" w16cid:durableId="2136173835">
    <w:abstractNumId w:val="29"/>
  </w:num>
  <w:num w:numId="97" w16cid:durableId="142964064">
    <w:abstractNumId w:val="43"/>
  </w:num>
  <w:num w:numId="98" w16cid:durableId="2077167048">
    <w:abstractNumId w:val="94"/>
  </w:num>
  <w:num w:numId="99" w16cid:durableId="1865514657">
    <w:abstractNumId w:val="62"/>
  </w:num>
  <w:num w:numId="100" w16cid:durableId="675957122">
    <w:abstractNumId w:val="48"/>
  </w:num>
  <w:num w:numId="101" w16cid:durableId="1372415630">
    <w:abstractNumId w:val="77"/>
  </w:num>
  <w:num w:numId="102" w16cid:durableId="129173900">
    <w:abstractNumId w:val="106"/>
  </w:num>
  <w:num w:numId="103" w16cid:durableId="57486078">
    <w:abstractNumId w:val="4"/>
  </w:num>
  <w:num w:numId="104" w16cid:durableId="994257750">
    <w:abstractNumId w:val="52"/>
  </w:num>
  <w:num w:numId="105" w16cid:durableId="611015489">
    <w:abstractNumId w:val="47"/>
  </w:num>
  <w:num w:numId="106" w16cid:durableId="1936480244">
    <w:abstractNumId w:val="37"/>
  </w:num>
  <w:num w:numId="107" w16cid:durableId="1003505844">
    <w:abstractNumId w:val="109"/>
  </w:num>
  <w:num w:numId="108" w16cid:durableId="2021851397">
    <w:abstractNumId w:val="53"/>
  </w:num>
  <w:num w:numId="109" w16cid:durableId="99110493">
    <w:abstractNumId w:val="22"/>
  </w:num>
  <w:num w:numId="110" w16cid:durableId="2041466675">
    <w:abstractNumId w:val="15"/>
  </w:num>
  <w:num w:numId="111" w16cid:durableId="330446968">
    <w:abstractNumId w:val="107"/>
  </w:num>
  <w:num w:numId="112" w16cid:durableId="1985233057">
    <w:abstractNumId w:val="36"/>
  </w:num>
  <w:num w:numId="113" w16cid:durableId="1812167753">
    <w:abstractNumId w:val="89"/>
  </w:num>
  <w:num w:numId="114" w16cid:durableId="1492255707">
    <w:abstractNumId w:val="95"/>
  </w:num>
  <w:num w:numId="115" w16cid:durableId="307826614">
    <w:abstractNumId w:val="99"/>
  </w:num>
  <w:num w:numId="116" w16cid:durableId="1740134025">
    <w:abstractNumId w:val="16"/>
  </w:num>
  <w:num w:numId="117" w16cid:durableId="637296800">
    <w:abstractNumId w:val="115"/>
  </w:num>
  <w:num w:numId="118" w16cid:durableId="167714133">
    <w:abstractNumId w:val="19"/>
  </w:num>
  <w:num w:numId="119" w16cid:durableId="381178554">
    <w:abstractNumId w:val="75"/>
  </w:num>
  <w:num w:numId="120" w16cid:durableId="2124416032">
    <w:abstractNumId w:val="108"/>
  </w:num>
  <w:num w:numId="121" w16cid:durableId="1835757643">
    <w:abstractNumId w:val="76"/>
  </w:num>
  <w:num w:numId="122" w16cid:durableId="1521620800">
    <w:abstractNumId w:val="110"/>
  </w:num>
  <w:num w:numId="123" w16cid:durableId="332757887">
    <w:abstractNumId w:val="28"/>
  </w:num>
  <w:num w:numId="124" w16cid:durableId="729035422">
    <w:abstractNumId w:val="54"/>
  </w:num>
  <w:num w:numId="125" w16cid:durableId="1083600457">
    <w:abstractNumId w:val="49"/>
  </w:num>
  <w:num w:numId="126" w16cid:durableId="1447194821">
    <w:abstractNumId w:val="12"/>
  </w:num>
  <w:num w:numId="127" w16cid:durableId="1699315040">
    <w:abstractNumId w:val="45"/>
  </w:num>
  <w:num w:numId="128" w16cid:durableId="515459392">
    <w:abstractNumId w:val="9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1E5D"/>
    <w:rsid w:val="00002821"/>
    <w:rsid w:val="00002A37"/>
    <w:rsid w:val="0000317E"/>
    <w:rsid w:val="00003514"/>
    <w:rsid w:val="0000352D"/>
    <w:rsid w:val="000048A7"/>
    <w:rsid w:val="00004900"/>
    <w:rsid w:val="00004BB1"/>
    <w:rsid w:val="00004BE5"/>
    <w:rsid w:val="00004C5B"/>
    <w:rsid w:val="00004D35"/>
    <w:rsid w:val="00006446"/>
    <w:rsid w:val="0000685E"/>
    <w:rsid w:val="00006896"/>
    <w:rsid w:val="00006B58"/>
    <w:rsid w:val="00007198"/>
    <w:rsid w:val="000072C8"/>
    <w:rsid w:val="000074E1"/>
    <w:rsid w:val="000079C9"/>
    <w:rsid w:val="00007CDC"/>
    <w:rsid w:val="00007E8B"/>
    <w:rsid w:val="00007EF0"/>
    <w:rsid w:val="000102B4"/>
    <w:rsid w:val="0001039D"/>
    <w:rsid w:val="000109AA"/>
    <w:rsid w:val="000117C7"/>
    <w:rsid w:val="00011837"/>
    <w:rsid w:val="00011B28"/>
    <w:rsid w:val="00012091"/>
    <w:rsid w:val="00012530"/>
    <w:rsid w:val="00012594"/>
    <w:rsid w:val="0001274F"/>
    <w:rsid w:val="00013567"/>
    <w:rsid w:val="00013762"/>
    <w:rsid w:val="00013ADD"/>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114"/>
    <w:rsid w:val="00027218"/>
    <w:rsid w:val="00027939"/>
    <w:rsid w:val="00027988"/>
    <w:rsid w:val="00027BD2"/>
    <w:rsid w:val="00027C68"/>
    <w:rsid w:val="00027D7F"/>
    <w:rsid w:val="00031357"/>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A25"/>
    <w:rsid w:val="00036BA1"/>
    <w:rsid w:val="00036E9B"/>
    <w:rsid w:val="0003770D"/>
    <w:rsid w:val="00037E0E"/>
    <w:rsid w:val="00037FBF"/>
    <w:rsid w:val="0004032D"/>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5523"/>
    <w:rsid w:val="00045B4F"/>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369"/>
    <w:rsid w:val="0005274D"/>
    <w:rsid w:val="00052A07"/>
    <w:rsid w:val="00052B3B"/>
    <w:rsid w:val="000533E6"/>
    <w:rsid w:val="000534E3"/>
    <w:rsid w:val="00053687"/>
    <w:rsid w:val="0005407B"/>
    <w:rsid w:val="0005489C"/>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6FA0"/>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5DA0"/>
    <w:rsid w:val="0007717C"/>
    <w:rsid w:val="00077B17"/>
    <w:rsid w:val="00077D33"/>
    <w:rsid w:val="00077E5F"/>
    <w:rsid w:val="000802C4"/>
    <w:rsid w:val="0008036A"/>
    <w:rsid w:val="0008055F"/>
    <w:rsid w:val="00080878"/>
    <w:rsid w:val="00080A67"/>
    <w:rsid w:val="00081925"/>
    <w:rsid w:val="000819CF"/>
    <w:rsid w:val="00081AE6"/>
    <w:rsid w:val="00082676"/>
    <w:rsid w:val="000827D7"/>
    <w:rsid w:val="00082AA2"/>
    <w:rsid w:val="00082D8B"/>
    <w:rsid w:val="00082E93"/>
    <w:rsid w:val="00083850"/>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5A"/>
    <w:rsid w:val="000C67A3"/>
    <w:rsid w:val="000C69B9"/>
    <w:rsid w:val="000C6C1E"/>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3C6E"/>
    <w:rsid w:val="000D427A"/>
    <w:rsid w:val="000D4797"/>
    <w:rsid w:val="000D4858"/>
    <w:rsid w:val="000D4B25"/>
    <w:rsid w:val="000D4FAC"/>
    <w:rsid w:val="000D509F"/>
    <w:rsid w:val="000D50DB"/>
    <w:rsid w:val="000D55F4"/>
    <w:rsid w:val="000D59C5"/>
    <w:rsid w:val="000D6423"/>
    <w:rsid w:val="000D6690"/>
    <w:rsid w:val="000D6841"/>
    <w:rsid w:val="000D689A"/>
    <w:rsid w:val="000D6B25"/>
    <w:rsid w:val="000D6F7A"/>
    <w:rsid w:val="000D71F4"/>
    <w:rsid w:val="000D7777"/>
    <w:rsid w:val="000D7BDE"/>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2DF"/>
    <w:rsid w:val="000E5750"/>
    <w:rsid w:val="000E57ED"/>
    <w:rsid w:val="000E5CC0"/>
    <w:rsid w:val="000E694D"/>
    <w:rsid w:val="000E7568"/>
    <w:rsid w:val="000E7757"/>
    <w:rsid w:val="000E7FA9"/>
    <w:rsid w:val="000F06D6"/>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50F9"/>
    <w:rsid w:val="000F5184"/>
    <w:rsid w:val="000F5FA1"/>
    <w:rsid w:val="000F63FD"/>
    <w:rsid w:val="000F6C42"/>
    <w:rsid w:val="000F6CBE"/>
    <w:rsid w:val="000F6DF3"/>
    <w:rsid w:val="000F6F4E"/>
    <w:rsid w:val="000F73EB"/>
    <w:rsid w:val="000F75D8"/>
    <w:rsid w:val="001002DA"/>
    <w:rsid w:val="001005FF"/>
    <w:rsid w:val="00100D9C"/>
    <w:rsid w:val="001012B0"/>
    <w:rsid w:val="00101904"/>
    <w:rsid w:val="00101F35"/>
    <w:rsid w:val="00102304"/>
    <w:rsid w:val="001027FA"/>
    <w:rsid w:val="0010434A"/>
    <w:rsid w:val="001045CC"/>
    <w:rsid w:val="00104B88"/>
    <w:rsid w:val="00104D81"/>
    <w:rsid w:val="00104E80"/>
    <w:rsid w:val="00105A8C"/>
    <w:rsid w:val="001062FB"/>
    <w:rsid w:val="001063E6"/>
    <w:rsid w:val="0010678F"/>
    <w:rsid w:val="00106BBC"/>
    <w:rsid w:val="00106C42"/>
    <w:rsid w:val="00106D4C"/>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5CE1"/>
    <w:rsid w:val="00116765"/>
    <w:rsid w:val="0011679E"/>
    <w:rsid w:val="00116CD3"/>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F9"/>
    <w:rsid w:val="00122F2E"/>
    <w:rsid w:val="0012377F"/>
    <w:rsid w:val="00123C02"/>
    <w:rsid w:val="00123D95"/>
    <w:rsid w:val="0012408C"/>
    <w:rsid w:val="00124314"/>
    <w:rsid w:val="0012447D"/>
    <w:rsid w:val="00124761"/>
    <w:rsid w:val="001249AE"/>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A9D"/>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2EAE"/>
    <w:rsid w:val="00143502"/>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5C53"/>
    <w:rsid w:val="00156A62"/>
    <w:rsid w:val="00156E8A"/>
    <w:rsid w:val="0015723F"/>
    <w:rsid w:val="00157968"/>
    <w:rsid w:val="00157B9D"/>
    <w:rsid w:val="00157C5B"/>
    <w:rsid w:val="00157E3A"/>
    <w:rsid w:val="0016002E"/>
    <w:rsid w:val="00160069"/>
    <w:rsid w:val="001600EE"/>
    <w:rsid w:val="0016068A"/>
    <w:rsid w:val="00160C36"/>
    <w:rsid w:val="001610B1"/>
    <w:rsid w:val="0016139B"/>
    <w:rsid w:val="001621FB"/>
    <w:rsid w:val="00162246"/>
    <w:rsid w:val="001622D5"/>
    <w:rsid w:val="00162AD0"/>
    <w:rsid w:val="0016375A"/>
    <w:rsid w:val="00163DFD"/>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FD2"/>
    <w:rsid w:val="0017002D"/>
    <w:rsid w:val="001701F0"/>
    <w:rsid w:val="00170235"/>
    <w:rsid w:val="001702E2"/>
    <w:rsid w:val="00170763"/>
    <w:rsid w:val="0017084C"/>
    <w:rsid w:val="00170B9E"/>
    <w:rsid w:val="00170E4E"/>
    <w:rsid w:val="00171238"/>
    <w:rsid w:val="0017131F"/>
    <w:rsid w:val="00171479"/>
    <w:rsid w:val="00171489"/>
    <w:rsid w:val="00171D65"/>
    <w:rsid w:val="0017230C"/>
    <w:rsid w:val="001724AD"/>
    <w:rsid w:val="00172FC1"/>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F6B"/>
    <w:rsid w:val="00176FB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4052"/>
    <w:rsid w:val="00184A9B"/>
    <w:rsid w:val="00185B93"/>
    <w:rsid w:val="00185D66"/>
    <w:rsid w:val="00186D59"/>
    <w:rsid w:val="001871DD"/>
    <w:rsid w:val="00187930"/>
    <w:rsid w:val="00187FD0"/>
    <w:rsid w:val="00190AC1"/>
    <w:rsid w:val="001927DF"/>
    <w:rsid w:val="001930E1"/>
    <w:rsid w:val="001931DF"/>
    <w:rsid w:val="001932FC"/>
    <w:rsid w:val="0019339F"/>
    <w:rsid w:val="0019341A"/>
    <w:rsid w:val="00193704"/>
    <w:rsid w:val="0019487F"/>
    <w:rsid w:val="00194B49"/>
    <w:rsid w:val="00194F24"/>
    <w:rsid w:val="00195196"/>
    <w:rsid w:val="001958BF"/>
    <w:rsid w:val="0019604B"/>
    <w:rsid w:val="00196852"/>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95"/>
    <w:rsid w:val="001C7019"/>
    <w:rsid w:val="001C7241"/>
    <w:rsid w:val="001C73A8"/>
    <w:rsid w:val="001C7BB2"/>
    <w:rsid w:val="001C7EDE"/>
    <w:rsid w:val="001D1159"/>
    <w:rsid w:val="001D1648"/>
    <w:rsid w:val="001D1DCC"/>
    <w:rsid w:val="001D1F94"/>
    <w:rsid w:val="001D2405"/>
    <w:rsid w:val="001D24AE"/>
    <w:rsid w:val="001D2EEA"/>
    <w:rsid w:val="001D2FD9"/>
    <w:rsid w:val="001D302B"/>
    <w:rsid w:val="001D3177"/>
    <w:rsid w:val="001D3954"/>
    <w:rsid w:val="001D42FB"/>
    <w:rsid w:val="001D4353"/>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59A2"/>
    <w:rsid w:val="001E6091"/>
    <w:rsid w:val="001E7AED"/>
    <w:rsid w:val="001F0443"/>
    <w:rsid w:val="001F07D8"/>
    <w:rsid w:val="001F087C"/>
    <w:rsid w:val="001F0B12"/>
    <w:rsid w:val="001F0B22"/>
    <w:rsid w:val="001F1025"/>
    <w:rsid w:val="001F11B7"/>
    <w:rsid w:val="001F1890"/>
    <w:rsid w:val="001F19C8"/>
    <w:rsid w:val="001F2689"/>
    <w:rsid w:val="001F2D91"/>
    <w:rsid w:val="001F3467"/>
    <w:rsid w:val="001F355A"/>
    <w:rsid w:val="001F3916"/>
    <w:rsid w:val="001F3BB7"/>
    <w:rsid w:val="001F3D7C"/>
    <w:rsid w:val="001F419A"/>
    <w:rsid w:val="001F44B0"/>
    <w:rsid w:val="001F44DF"/>
    <w:rsid w:val="001F46B9"/>
    <w:rsid w:val="001F5251"/>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1A0"/>
    <w:rsid w:val="00210AA7"/>
    <w:rsid w:val="00210D4C"/>
    <w:rsid w:val="00210EC5"/>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6C19"/>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2F5"/>
    <w:rsid w:val="00223FCB"/>
    <w:rsid w:val="002241A6"/>
    <w:rsid w:val="002244BF"/>
    <w:rsid w:val="00224D76"/>
    <w:rsid w:val="002252AD"/>
    <w:rsid w:val="002252C3"/>
    <w:rsid w:val="0022544B"/>
    <w:rsid w:val="00225460"/>
    <w:rsid w:val="002257C5"/>
    <w:rsid w:val="00225C54"/>
    <w:rsid w:val="00226A79"/>
    <w:rsid w:val="00227749"/>
    <w:rsid w:val="00227AF2"/>
    <w:rsid w:val="00227B13"/>
    <w:rsid w:val="00227E24"/>
    <w:rsid w:val="00227ECB"/>
    <w:rsid w:val="002305DC"/>
    <w:rsid w:val="00230765"/>
    <w:rsid w:val="00230916"/>
    <w:rsid w:val="00230F90"/>
    <w:rsid w:val="00231886"/>
    <w:rsid w:val="002318ED"/>
    <w:rsid w:val="002319E4"/>
    <w:rsid w:val="00232375"/>
    <w:rsid w:val="0023274F"/>
    <w:rsid w:val="00232C7C"/>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5028"/>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D2A"/>
    <w:rsid w:val="002670D8"/>
    <w:rsid w:val="00267ADF"/>
    <w:rsid w:val="00267C35"/>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04C"/>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90332"/>
    <w:rsid w:val="00290630"/>
    <w:rsid w:val="002907B5"/>
    <w:rsid w:val="002909D3"/>
    <w:rsid w:val="00290B08"/>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092F"/>
    <w:rsid w:val="002A17BC"/>
    <w:rsid w:val="002A1AE5"/>
    <w:rsid w:val="002A1D4E"/>
    <w:rsid w:val="002A1F9B"/>
    <w:rsid w:val="002A1FD1"/>
    <w:rsid w:val="002A24A9"/>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A5"/>
    <w:rsid w:val="002B04EC"/>
    <w:rsid w:val="002B09A3"/>
    <w:rsid w:val="002B1373"/>
    <w:rsid w:val="002B1BBB"/>
    <w:rsid w:val="002B1E4E"/>
    <w:rsid w:val="002B21AF"/>
    <w:rsid w:val="002B24D6"/>
    <w:rsid w:val="002B29F4"/>
    <w:rsid w:val="002B2FBC"/>
    <w:rsid w:val="002B33C6"/>
    <w:rsid w:val="002B33EC"/>
    <w:rsid w:val="002B3CB5"/>
    <w:rsid w:val="002B4256"/>
    <w:rsid w:val="002B46D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448"/>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0B0"/>
    <w:rsid w:val="002F2422"/>
    <w:rsid w:val="002F2771"/>
    <w:rsid w:val="002F2A58"/>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466D"/>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505E"/>
    <w:rsid w:val="00335803"/>
    <w:rsid w:val="00335858"/>
    <w:rsid w:val="00335C1B"/>
    <w:rsid w:val="00335F39"/>
    <w:rsid w:val="00336BDA"/>
    <w:rsid w:val="0033712C"/>
    <w:rsid w:val="00337194"/>
    <w:rsid w:val="003372DA"/>
    <w:rsid w:val="0033730F"/>
    <w:rsid w:val="00337545"/>
    <w:rsid w:val="0033755F"/>
    <w:rsid w:val="00337928"/>
    <w:rsid w:val="00340555"/>
    <w:rsid w:val="00340A45"/>
    <w:rsid w:val="00340A56"/>
    <w:rsid w:val="00341139"/>
    <w:rsid w:val="00341EDB"/>
    <w:rsid w:val="00342BD7"/>
    <w:rsid w:val="00342E02"/>
    <w:rsid w:val="00343100"/>
    <w:rsid w:val="0034331C"/>
    <w:rsid w:val="00343459"/>
    <w:rsid w:val="003435AB"/>
    <w:rsid w:val="00343A07"/>
    <w:rsid w:val="00343F15"/>
    <w:rsid w:val="00343F3F"/>
    <w:rsid w:val="0034458D"/>
    <w:rsid w:val="00344B18"/>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64E"/>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CED"/>
    <w:rsid w:val="003A0E60"/>
    <w:rsid w:val="003A0F25"/>
    <w:rsid w:val="003A0F64"/>
    <w:rsid w:val="003A11A3"/>
    <w:rsid w:val="003A12E6"/>
    <w:rsid w:val="003A1590"/>
    <w:rsid w:val="003A16A6"/>
    <w:rsid w:val="003A16FA"/>
    <w:rsid w:val="003A1725"/>
    <w:rsid w:val="003A1C15"/>
    <w:rsid w:val="003A2223"/>
    <w:rsid w:val="003A2638"/>
    <w:rsid w:val="003A2692"/>
    <w:rsid w:val="003A2A0F"/>
    <w:rsid w:val="003A2FCF"/>
    <w:rsid w:val="003A3ADC"/>
    <w:rsid w:val="003A4100"/>
    <w:rsid w:val="003A449F"/>
    <w:rsid w:val="003A45A1"/>
    <w:rsid w:val="003A4B5B"/>
    <w:rsid w:val="003A4BEE"/>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2DBE"/>
    <w:rsid w:val="003B302E"/>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E5"/>
    <w:rsid w:val="003C0C12"/>
    <w:rsid w:val="003C11C8"/>
    <w:rsid w:val="003C16E6"/>
    <w:rsid w:val="003C1905"/>
    <w:rsid w:val="003C221A"/>
    <w:rsid w:val="003C2425"/>
    <w:rsid w:val="003C2516"/>
    <w:rsid w:val="003C2702"/>
    <w:rsid w:val="003C2D10"/>
    <w:rsid w:val="003C3F5D"/>
    <w:rsid w:val="003C4112"/>
    <w:rsid w:val="003C467F"/>
    <w:rsid w:val="003C471D"/>
    <w:rsid w:val="003C4B86"/>
    <w:rsid w:val="003C4C4A"/>
    <w:rsid w:val="003C4D0A"/>
    <w:rsid w:val="003C4F5D"/>
    <w:rsid w:val="003C585B"/>
    <w:rsid w:val="003C5D55"/>
    <w:rsid w:val="003C6036"/>
    <w:rsid w:val="003C64AC"/>
    <w:rsid w:val="003C6D21"/>
    <w:rsid w:val="003C6EF3"/>
    <w:rsid w:val="003C72F8"/>
    <w:rsid w:val="003C76CC"/>
    <w:rsid w:val="003C7806"/>
    <w:rsid w:val="003C78B5"/>
    <w:rsid w:val="003C7F8E"/>
    <w:rsid w:val="003D0607"/>
    <w:rsid w:val="003D0723"/>
    <w:rsid w:val="003D0FDB"/>
    <w:rsid w:val="003D109F"/>
    <w:rsid w:val="003D14F9"/>
    <w:rsid w:val="003D2478"/>
    <w:rsid w:val="003D2957"/>
    <w:rsid w:val="003D2AB0"/>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5FFA"/>
    <w:rsid w:val="003E6208"/>
    <w:rsid w:val="003E64C4"/>
    <w:rsid w:val="003E64FD"/>
    <w:rsid w:val="003E6B5A"/>
    <w:rsid w:val="003E6BC9"/>
    <w:rsid w:val="003E74E3"/>
    <w:rsid w:val="003F011C"/>
    <w:rsid w:val="003F0137"/>
    <w:rsid w:val="003F01B0"/>
    <w:rsid w:val="003F0256"/>
    <w:rsid w:val="003F05C7"/>
    <w:rsid w:val="003F0790"/>
    <w:rsid w:val="003F0E82"/>
    <w:rsid w:val="003F119B"/>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60C0"/>
    <w:rsid w:val="003F633C"/>
    <w:rsid w:val="003F633D"/>
    <w:rsid w:val="003F65E5"/>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F2"/>
    <w:rsid w:val="004116D8"/>
    <w:rsid w:val="00411965"/>
    <w:rsid w:val="0041263E"/>
    <w:rsid w:val="00412820"/>
    <w:rsid w:val="00412D57"/>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5C8"/>
    <w:rsid w:val="004207EE"/>
    <w:rsid w:val="00421105"/>
    <w:rsid w:val="00421595"/>
    <w:rsid w:val="004215D8"/>
    <w:rsid w:val="00422014"/>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16E"/>
    <w:rsid w:val="00427248"/>
    <w:rsid w:val="004272E5"/>
    <w:rsid w:val="0043068E"/>
    <w:rsid w:val="004311DF"/>
    <w:rsid w:val="0043134C"/>
    <w:rsid w:val="0043149A"/>
    <w:rsid w:val="00431986"/>
    <w:rsid w:val="00431CCC"/>
    <w:rsid w:val="00431F63"/>
    <w:rsid w:val="004323FC"/>
    <w:rsid w:val="00432627"/>
    <w:rsid w:val="0043269E"/>
    <w:rsid w:val="00433220"/>
    <w:rsid w:val="004336FF"/>
    <w:rsid w:val="00433824"/>
    <w:rsid w:val="00433FC2"/>
    <w:rsid w:val="004342A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490"/>
    <w:rsid w:val="004436AB"/>
    <w:rsid w:val="0044378F"/>
    <w:rsid w:val="004440EC"/>
    <w:rsid w:val="00444403"/>
    <w:rsid w:val="00444431"/>
    <w:rsid w:val="004444D7"/>
    <w:rsid w:val="00444792"/>
    <w:rsid w:val="00444A37"/>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D5"/>
    <w:rsid w:val="004550ED"/>
    <w:rsid w:val="0045578A"/>
    <w:rsid w:val="004561E0"/>
    <w:rsid w:val="00456A48"/>
    <w:rsid w:val="00456FC4"/>
    <w:rsid w:val="00457565"/>
    <w:rsid w:val="00457B71"/>
    <w:rsid w:val="00457CD9"/>
    <w:rsid w:val="00460601"/>
    <w:rsid w:val="00460721"/>
    <w:rsid w:val="00460746"/>
    <w:rsid w:val="00460978"/>
    <w:rsid w:val="00460BD1"/>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6A7"/>
    <w:rsid w:val="00484CFB"/>
    <w:rsid w:val="004853CE"/>
    <w:rsid w:val="00485A5D"/>
    <w:rsid w:val="0048618E"/>
    <w:rsid w:val="004865E7"/>
    <w:rsid w:val="004869C6"/>
    <w:rsid w:val="00487488"/>
    <w:rsid w:val="004877E2"/>
    <w:rsid w:val="0049015D"/>
    <w:rsid w:val="00490604"/>
    <w:rsid w:val="00490A15"/>
    <w:rsid w:val="00490D41"/>
    <w:rsid w:val="00490E89"/>
    <w:rsid w:val="00491814"/>
    <w:rsid w:val="00491FBF"/>
    <w:rsid w:val="00492BC5"/>
    <w:rsid w:val="0049306B"/>
    <w:rsid w:val="004933EA"/>
    <w:rsid w:val="00493425"/>
    <w:rsid w:val="00493DBE"/>
    <w:rsid w:val="0049472B"/>
    <w:rsid w:val="00494B81"/>
    <w:rsid w:val="00495038"/>
    <w:rsid w:val="00495533"/>
    <w:rsid w:val="004956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0622"/>
    <w:rsid w:val="004A155E"/>
    <w:rsid w:val="004A16BC"/>
    <w:rsid w:val="004A170E"/>
    <w:rsid w:val="004A1C33"/>
    <w:rsid w:val="004A1E52"/>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6952"/>
    <w:rsid w:val="004A6B9D"/>
    <w:rsid w:val="004A7159"/>
    <w:rsid w:val="004A7668"/>
    <w:rsid w:val="004A7694"/>
    <w:rsid w:val="004A778C"/>
    <w:rsid w:val="004A7AD8"/>
    <w:rsid w:val="004A7E6E"/>
    <w:rsid w:val="004B014E"/>
    <w:rsid w:val="004B01DD"/>
    <w:rsid w:val="004B033D"/>
    <w:rsid w:val="004B0618"/>
    <w:rsid w:val="004B08CF"/>
    <w:rsid w:val="004B08FF"/>
    <w:rsid w:val="004B0AB7"/>
    <w:rsid w:val="004B124C"/>
    <w:rsid w:val="004B1344"/>
    <w:rsid w:val="004B14ED"/>
    <w:rsid w:val="004B20F8"/>
    <w:rsid w:val="004B31AC"/>
    <w:rsid w:val="004B3672"/>
    <w:rsid w:val="004B3EF9"/>
    <w:rsid w:val="004B3F31"/>
    <w:rsid w:val="004B409C"/>
    <w:rsid w:val="004B5B71"/>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1D74"/>
    <w:rsid w:val="004D2003"/>
    <w:rsid w:val="004D2209"/>
    <w:rsid w:val="004D276F"/>
    <w:rsid w:val="004D2AF0"/>
    <w:rsid w:val="004D2C5B"/>
    <w:rsid w:val="004D2CD3"/>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F98"/>
    <w:rsid w:val="004F018D"/>
    <w:rsid w:val="004F0501"/>
    <w:rsid w:val="004F064E"/>
    <w:rsid w:val="004F0B4E"/>
    <w:rsid w:val="004F0B6C"/>
    <w:rsid w:val="004F104C"/>
    <w:rsid w:val="004F124A"/>
    <w:rsid w:val="004F2078"/>
    <w:rsid w:val="004F210A"/>
    <w:rsid w:val="004F2507"/>
    <w:rsid w:val="004F2AE0"/>
    <w:rsid w:val="004F4200"/>
    <w:rsid w:val="004F4435"/>
    <w:rsid w:val="004F48F7"/>
    <w:rsid w:val="004F4931"/>
    <w:rsid w:val="004F4AFB"/>
    <w:rsid w:val="004F4DA3"/>
    <w:rsid w:val="004F5AC4"/>
    <w:rsid w:val="004F5E22"/>
    <w:rsid w:val="004F5E9A"/>
    <w:rsid w:val="004F631E"/>
    <w:rsid w:val="004F6B70"/>
    <w:rsid w:val="004F742C"/>
    <w:rsid w:val="004F75DB"/>
    <w:rsid w:val="004F7717"/>
    <w:rsid w:val="004F7CF6"/>
    <w:rsid w:val="005001AF"/>
    <w:rsid w:val="005003DC"/>
    <w:rsid w:val="00500988"/>
    <w:rsid w:val="00500BC2"/>
    <w:rsid w:val="00501082"/>
    <w:rsid w:val="005016E6"/>
    <w:rsid w:val="005017C9"/>
    <w:rsid w:val="00501990"/>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4F2"/>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A2E"/>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5492"/>
    <w:rsid w:val="00545CBE"/>
    <w:rsid w:val="00546392"/>
    <w:rsid w:val="005465AF"/>
    <w:rsid w:val="0054669E"/>
    <w:rsid w:val="00546970"/>
    <w:rsid w:val="00546D31"/>
    <w:rsid w:val="00546D5A"/>
    <w:rsid w:val="005471C5"/>
    <w:rsid w:val="0054737B"/>
    <w:rsid w:val="00547A1B"/>
    <w:rsid w:val="00550001"/>
    <w:rsid w:val="005500B0"/>
    <w:rsid w:val="00550814"/>
    <w:rsid w:val="005509A0"/>
    <w:rsid w:val="00550F53"/>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ADF"/>
    <w:rsid w:val="00591C56"/>
    <w:rsid w:val="00591D01"/>
    <w:rsid w:val="00591F85"/>
    <w:rsid w:val="00592202"/>
    <w:rsid w:val="0059346F"/>
    <w:rsid w:val="005935A4"/>
    <w:rsid w:val="005946D9"/>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981"/>
    <w:rsid w:val="005A0A0F"/>
    <w:rsid w:val="005A1CCB"/>
    <w:rsid w:val="005A1ED4"/>
    <w:rsid w:val="005A209A"/>
    <w:rsid w:val="005A28A3"/>
    <w:rsid w:val="005A2941"/>
    <w:rsid w:val="005A297B"/>
    <w:rsid w:val="005A2AC4"/>
    <w:rsid w:val="005A2D3E"/>
    <w:rsid w:val="005A2DB9"/>
    <w:rsid w:val="005A39A4"/>
    <w:rsid w:val="005A3F97"/>
    <w:rsid w:val="005A4EE2"/>
    <w:rsid w:val="005A519F"/>
    <w:rsid w:val="005A571B"/>
    <w:rsid w:val="005A59BF"/>
    <w:rsid w:val="005A6354"/>
    <w:rsid w:val="005A64F1"/>
    <w:rsid w:val="005A662D"/>
    <w:rsid w:val="005A6947"/>
    <w:rsid w:val="005A6A3F"/>
    <w:rsid w:val="005A6FA9"/>
    <w:rsid w:val="005A70FC"/>
    <w:rsid w:val="005A74A1"/>
    <w:rsid w:val="005A7937"/>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5DE"/>
    <w:rsid w:val="005B46A5"/>
    <w:rsid w:val="005B4C1E"/>
    <w:rsid w:val="005B4DBE"/>
    <w:rsid w:val="005B5C93"/>
    <w:rsid w:val="005B613B"/>
    <w:rsid w:val="005B6F83"/>
    <w:rsid w:val="005B7A0C"/>
    <w:rsid w:val="005C113B"/>
    <w:rsid w:val="005C1E43"/>
    <w:rsid w:val="005C2797"/>
    <w:rsid w:val="005C29A8"/>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284"/>
    <w:rsid w:val="005E1C98"/>
    <w:rsid w:val="005E2259"/>
    <w:rsid w:val="005E2534"/>
    <w:rsid w:val="005E385F"/>
    <w:rsid w:val="005E3997"/>
    <w:rsid w:val="005E3DE7"/>
    <w:rsid w:val="005E3EEB"/>
    <w:rsid w:val="005E43CB"/>
    <w:rsid w:val="005E464C"/>
    <w:rsid w:val="005E47AE"/>
    <w:rsid w:val="005E5197"/>
    <w:rsid w:val="005E53B0"/>
    <w:rsid w:val="005E571C"/>
    <w:rsid w:val="005E5B81"/>
    <w:rsid w:val="005E5D69"/>
    <w:rsid w:val="005E6250"/>
    <w:rsid w:val="005E71E7"/>
    <w:rsid w:val="005E72E7"/>
    <w:rsid w:val="005E755A"/>
    <w:rsid w:val="005E7FA1"/>
    <w:rsid w:val="005F062F"/>
    <w:rsid w:val="005F0AF2"/>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80A"/>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417"/>
    <w:rsid w:val="00610612"/>
    <w:rsid w:val="0061079C"/>
    <w:rsid w:val="00610A0E"/>
    <w:rsid w:val="00610EC4"/>
    <w:rsid w:val="006115ED"/>
    <w:rsid w:val="00611A89"/>
    <w:rsid w:val="00611B83"/>
    <w:rsid w:val="0061206D"/>
    <w:rsid w:val="00612756"/>
    <w:rsid w:val="00612775"/>
    <w:rsid w:val="00612AED"/>
    <w:rsid w:val="00612C03"/>
    <w:rsid w:val="00612CBC"/>
    <w:rsid w:val="00613257"/>
    <w:rsid w:val="00613299"/>
    <w:rsid w:val="006137D4"/>
    <w:rsid w:val="00613A70"/>
    <w:rsid w:val="006148F5"/>
    <w:rsid w:val="0061569B"/>
    <w:rsid w:val="00615721"/>
    <w:rsid w:val="00616485"/>
    <w:rsid w:val="0061679E"/>
    <w:rsid w:val="006169D7"/>
    <w:rsid w:val="00616CC6"/>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2FDD"/>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6A"/>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46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351"/>
    <w:rsid w:val="00650AB9"/>
    <w:rsid w:val="00650EEB"/>
    <w:rsid w:val="00651227"/>
    <w:rsid w:val="00651439"/>
    <w:rsid w:val="006514EC"/>
    <w:rsid w:val="00651603"/>
    <w:rsid w:val="00651A55"/>
    <w:rsid w:val="00651A6A"/>
    <w:rsid w:val="00651D89"/>
    <w:rsid w:val="00651E42"/>
    <w:rsid w:val="0065228D"/>
    <w:rsid w:val="006527FB"/>
    <w:rsid w:val="00652A12"/>
    <w:rsid w:val="00652FFC"/>
    <w:rsid w:val="00653162"/>
    <w:rsid w:val="00653583"/>
    <w:rsid w:val="006539DE"/>
    <w:rsid w:val="00653B2B"/>
    <w:rsid w:val="00654221"/>
    <w:rsid w:val="00654A0A"/>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A3A"/>
    <w:rsid w:val="006655EE"/>
    <w:rsid w:val="006667EE"/>
    <w:rsid w:val="006669B6"/>
    <w:rsid w:val="00666BFB"/>
    <w:rsid w:val="00666D33"/>
    <w:rsid w:val="00666E03"/>
    <w:rsid w:val="0066738B"/>
    <w:rsid w:val="00667B8D"/>
    <w:rsid w:val="00667EE7"/>
    <w:rsid w:val="00670237"/>
    <w:rsid w:val="00670546"/>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77F9E"/>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2C98"/>
    <w:rsid w:val="00693420"/>
    <w:rsid w:val="00693EE0"/>
    <w:rsid w:val="0069452C"/>
    <w:rsid w:val="00694CE9"/>
    <w:rsid w:val="006956A6"/>
    <w:rsid w:val="00695895"/>
    <w:rsid w:val="0069589F"/>
    <w:rsid w:val="00695BA8"/>
    <w:rsid w:val="00695FC2"/>
    <w:rsid w:val="0069601D"/>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90B"/>
    <w:rsid w:val="006B1BE0"/>
    <w:rsid w:val="006B1E42"/>
    <w:rsid w:val="006B2099"/>
    <w:rsid w:val="006B235E"/>
    <w:rsid w:val="006B2533"/>
    <w:rsid w:val="006B27AB"/>
    <w:rsid w:val="006B27B6"/>
    <w:rsid w:val="006B27D0"/>
    <w:rsid w:val="006B29DD"/>
    <w:rsid w:val="006B31F0"/>
    <w:rsid w:val="006B32C9"/>
    <w:rsid w:val="006B353D"/>
    <w:rsid w:val="006B48F8"/>
    <w:rsid w:val="006B4F08"/>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B33"/>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888"/>
    <w:rsid w:val="006D59C7"/>
    <w:rsid w:val="006D59F3"/>
    <w:rsid w:val="006D5C05"/>
    <w:rsid w:val="006D5D20"/>
    <w:rsid w:val="006D6128"/>
    <w:rsid w:val="006D630F"/>
    <w:rsid w:val="006D63B3"/>
    <w:rsid w:val="006D69A3"/>
    <w:rsid w:val="006D6B32"/>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D7E"/>
    <w:rsid w:val="006E4E39"/>
    <w:rsid w:val="006E50B5"/>
    <w:rsid w:val="006E565E"/>
    <w:rsid w:val="006E5C98"/>
    <w:rsid w:val="006E5FA3"/>
    <w:rsid w:val="006E665B"/>
    <w:rsid w:val="006E673D"/>
    <w:rsid w:val="006E6E87"/>
    <w:rsid w:val="006E6EC8"/>
    <w:rsid w:val="006E71C1"/>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C2C"/>
    <w:rsid w:val="006F7E6F"/>
    <w:rsid w:val="00700F32"/>
    <w:rsid w:val="00701BC8"/>
    <w:rsid w:val="00701EAD"/>
    <w:rsid w:val="00701FE4"/>
    <w:rsid w:val="00702914"/>
    <w:rsid w:val="00702B6B"/>
    <w:rsid w:val="0070327E"/>
    <w:rsid w:val="0070346E"/>
    <w:rsid w:val="00703F43"/>
    <w:rsid w:val="007041E1"/>
    <w:rsid w:val="00704736"/>
    <w:rsid w:val="00704AC6"/>
    <w:rsid w:val="00704E84"/>
    <w:rsid w:val="00704EDB"/>
    <w:rsid w:val="00705097"/>
    <w:rsid w:val="0070537F"/>
    <w:rsid w:val="00705391"/>
    <w:rsid w:val="007055C7"/>
    <w:rsid w:val="007057B5"/>
    <w:rsid w:val="00705A56"/>
    <w:rsid w:val="00705C5D"/>
    <w:rsid w:val="00705C66"/>
    <w:rsid w:val="00706101"/>
    <w:rsid w:val="0070640D"/>
    <w:rsid w:val="0070658A"/>
    <w:rsid w:val="00706BD7"/>
    <w:rsid w:val="00707072"/>
    <w:rsid w:val="0070723A"/>
    <w:rsid w:val="00707596"/>
    <w:rsid w:val="00707D61"/>
    <w:rsid w:val="00707F10"/>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61E"/>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47BC"/>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197"/>
    <w:rsid w:val="00733214"/>
    <w:rsid w:val="00733BDE"/>
    <w:rsid w:val="007340C9"/>
    <w:rsid w:val="0073426F"/>
    <w:rsid w:val="007343C6"/>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017"/>
    <w:rsid w:val="007405B3"/>
    <w:rsid w:val="00740894"/>
    <w:rsid w:val="00740B36"/>
    <w:rsid w:val="00740E58"/>
    <w:rsid w:val="00740F0B"/>
    <w:rsid w:val="0074211F"/>
    <w:rsid w:val="007422EF"/>
    <w:rsid w:val="007429DC"/>
    <w:rsid w:val="00742A0C"/>
    <w:rsid w:val="00742C2D"/>
    <w:rsid w:val="00742CCF"/>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C8C"/>
    <w:rsid w:val="00750FA1"/>
    <w:rsid w:val="00751228"/>
    <w:rsid w:val="00751310"/>
    <w:rsid w:val="007515ED"/>
    <w:rsid w:val="0075190A"/>
    <w:rsid w:val="00752562"/>
    <w:rsid w:val="00752885"/>
    <w:rsid w:val="007529C3"/>
    <w:rsid w:val="00752A24"/>
    <w:rsid w:val="00752EC8"/>
    <w:rsid w:val="007532C7"/>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4493"/>
    <w:rsid w:val="007755F2"/>
    <w:rsid w:val="00775794"/>
    <w:rsid w:val="007757B1"/>
    <w:rsid w:val="007762C9"/>
    <w:rsid w:val="00776800"/>
    <w:rsid w:val="00776971"/>
    <w:rsid w:val="00776F6C"/>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0E6B"/>
    <w:rsid w:val="00791088"/>
    <w:rsid w:val="007912C4"/>
    <w:rsid w:val="00791950"/>
    <w:rsid w:val="00792412"/>
    <w:rsid w:val="007925EA"/>
    <w:rsid w:val="0079286D"/>
    <w:rsid w:val="00792927"/>
    <w:rsid w:val="0079312C"/>
    <w:rsid w:val="00793245"/>
    <w:rsid w:val="0079384E"/>
    <w:rsid w:val="00793CD8"/>
    <w:rsid w:val="007941EF"/>
    <w:rsid w:val="00794FDA"/>
    <w:rsid w:val="00795277"/>
    <w:rsid w:val="00795452"/>
    <w:rsid w:val="007957D7"/>
    <w:rsid w:val="007958D5"/>
    <w:rsid w:val="007959F1"/>
    <w:rsid w:val="00795AE2"/>
    <w:rsid w:val="00795C92"/>
    <w:rsid w:val="00795E6B"/>
    <w:rsid w:val="00795F6F"/>
    <w:rsid w:val="00796231"/>
    <w:rsid w:val="007963B9"/>
    <w:rsid w:val="00796F14"/>
    <w:rsid w:val="007970C9"/>
    <w:rsid w:val="007973B4"/>
    <w:rsid w:val="00797F56"/>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4E76"/>
    <w:rsid w:val="007B4EB4"/>
    <w:rsid w:val="007B50AE"/>
    <w:rsid w:val="007B51DF"/>
    <w:rsid w:val="007B55AC"/>
    <w:rsid w:val="007B62FC"/>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CDD"/>
    <w:rsid w:val="007F5D6F"/>
    <w:rsid w:val="007F6986"/>
    <w:rsid w:val="007F6B18"/>
    <w:rsid w:val="007F7134"/>
    <w:rsid w:val="0080056B"/>
    <w:rsid w:val="00800FF0"/>
    <w:rsid w:val="00801259"/>
    <w:rsid w:val="008019AB"/>
    <w:rsid w:val="00801AAC"/>
    <w:rsid w:val="00801B94"/>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E5"/>
    <w:rsid w:val="00820834"/>
    <w:rsid w:val="00820A73"/>
    <w:rsid w:val="00821092"/>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0E15"/>
    <w:rsid w:val="00831391"/>
    <w:rsid w:val="00831DFA"/>
    <w:rsid w:val="00832376"/>
    <w:rsid w:val="00832794"/>
    <w:rsid w:val="00832848"/>
    <w:rsid w:val="00832C4C"/>
    <w:rsid w:val="0083321F"/>
    <w:rsid w:val="00833DE0"/>
    <w:rsid w:val="00834039"/>
    <w:rsid w:val="008340F7"/>
    <w:rsid w:val="00834B41"/>
    <w:rsid w:val="00834E03"/>
    <w:rsid w:val="0083511D"/>
    <w:rsid w:val="008359E6"/>
    <w:rsid w:val="008362FB"/>
    <w:rsid w:val="008362FC"/>
    <w:rsid w:val="00836307"/>
    <w:rsid w:val="00836480"/>
    <w:rsid w:val="00836F9E"/>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E27"/>
    <w:rsid w:val="00857244"/>
    <w:rsid w:val="00857C3A"/>
    <w:rsid w:val="00857E8D"/>
    <w:rsid w:val="00857F60"/>
    <w:rsid w:val="008609E0"/>
    <w:rsid w:val="00862397"/>
    <w:rsid w:val="0086251D"/>
    <w:rsid w:val="0086325B"/>
    <w:rsid w:val="00863435"/>
    <w:rsid w:val="00863F02"/>
    <w:rsid w:val="00863FBE"/>
    <w:rsid w:val="008644F1"/>
    <w:rsid w:val="00864558"/>
    <w:rsid w:val="00864B41"/>
    <w:rsid w:val="00865954"/>
    <w:rsid w:val="00865A02"/>
    <w:rsid w:val="00866046"/>
    <w:rsid w:val="00866A86"/>
    <w:rsid w:val="008677FD"/>
    <w:rsid w:val="00867F7D"/>
    <w:rsid w:val="00867F91"/>
    <w:rsid w:val="00870579"/>
    <w:rsid w:val="008706D4"/>
    <w:rsid w:val="00870997"/>
    <w:rsid w:val="00870A8D"/>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150"/>
    <w:rsid w:val="008842A1"/>
    <w:rsid w:val="008843E9"/>
    <w:rsid w:val="00884D8F"/>
    <w:rsid w:val="00885BE4"/>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41D"/>
    <w:rsid w:val="008A06FA"/>
    <w:rsid w:val="008A0D04"/>
    <w:rsid w:val="008A185C"/>
    <w:rsid w:val="008A1BE1"/>
    <w:rsid w:val="008A1C20"/>
    <w:rsid w:val="008A21F2"/>
    <w:rsid w:val="008A21FF"/>
    <w:rsid w:val="008A2283"/>
    <w:rsid w:val="008A2657"/>
    <w:rsid w:val="008A2857"/>
    <w:rsid w:val="008A2CE2"/>
    <w:rsid w:val="008A30AC"/>
    <w:rsid w:val="008A3282"/>
    <w:rsid w:val="008A4052"/>
    <w:rsid w:val="008A44B8"/>
    <w:rsid w:val="008A467D"/>
    <w:rsid w:val="008A4A3E"/>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64C4"/>
    <w:rsid w:val="008B66E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62"/>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1DC0"/>
    <w:rsid w:val="008E2616"/>
    <w:rsid w:val="008E2FF6"/>
    <w:rsid w:val="008E34E5"/>
    <w:rsid w:val="008E3FB3"/>
    <w:rsid w:val="008E42B0"/>
    <w:rsid w:val="008E482B"/>
    <w:rsid w:val="008E486B"/>
    <w:rsid w:val="008E4912"/>
    <w:rsid w:val="008E4CA5"/>
    <w:rsid w:val="008E53BA"/>
    <w:rsid w:val="008E5FD1"/>
    <w:rsid w:val="008E60DD"/>
    <w:rsid w:val="008E6605"/>
    <w:rsid w:val="008E7577"/>
    <w:rsid w:val="008F06CB"/>
    <w:rsid w:val="008F0E45"/>
    <w:rsid w:val="008F10E9"/>
    <w:rsid w:val="008F1A19"/>
    <w:rsid w:val="008F1C35"/>
    <w:rsid w:val="008F1CF9"/>
    <w:rsid w:val="008F1D4D"/>
    <w:rsid w:val="008F1EAB"/>
    <w:rsid w:val="008F203D"/>
    <w:rsid w:val="008F2165"/>
    <w:rsid w:val="008F278C"/>
    <w:rsid w:val="008F290F"/>
    <w:rsid w:val="008F2ED3"/>
    <w:rsid w:val="008F32C3"/>
    <w:rsid w:val="008F33DC"/>
    <w:rsid w:val="008F3989"/>
    <w:rsid w:val="008F3DA0"/>
    <w:rsid w:val="008F44D3"/>
    <w:rsid w:val="008F45A9"/>
    <w:rsid w:val="008F477F"/>
    <w:rsid w:val="008F4C65"/>
    <w:rsid w:val="008F55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4B5"/>
    <w:rsid w:val="00903A3A"/>
    <w:rsid w:val="00904510"/>
    <w:rsid w:val="009053AA"/>
    <w:rsid w:val="00906939"/>
    <w:rsid w:val="009069F6"/>
    <w:rsid w:val="0090747E"/>
    <w:rsid w:val="009075DE"/>
    <w:rsid w:val="009079B5"/>
    <w:rsid w:val="00907A8A"/>
    <w:rsid w:val="0091019E"/>
    <w:rsid w:val="00910B7D"/>
    <w:rsid w:val="00910D60"/>
    <w:rsid w:val="00911503"/>
    <w:rsid w:val="00911DFB"/>
    <w:rsid w:val="009124D3"/>
    <w:rsid w:val="00912FC7"/>
    <w:rsid w:val="0091316F"/>
    <w:rsid w:val="009135E6"/>
    <w:rsid w:val="0091378E"/>
    <w:rsid w:val="009139D9"/>
    <w:rsid w:val="00913ECA"/>
    <w:rsid w:val="00914178"/>
    <w:rsid w:val="00914AD8"/>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62A"/>
    <w:rsid w:val="00925721"/>
    <w:rsid w:val="00927868"/>
    <w:rsid w:val="009279D3"/>
    <w:rsid w:val="00927B3F"/>
    <w:rsid w:val="0093021B"/>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DFF"/>
    <w:rsid w:val="00940D4C"/>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457"/>
    <w:rsid w:val="00944782"/>
    <w:rsid w:val="00944B48"/>
    <w:rsid w:val="00944BC4"/>
    <w:rsid w:val="00944F95"/>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1B5A"/>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60105"/>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DBD"/>
    <w:rsid w:val="00966FC0"/>
    <w:rsid w:val="00966FD1"/>
    <w:rsid w:val="00966FDF"/>
    <w:rsid w:val="0096725B"/>
    <w:rsid w:val="0096741E"/>
    <w:rsid w:val="00967E2C"/>
    <w:rsid w:val="00967F33"/>
    <w:rsid w:val="00970137"/>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C93"/>
    <w:rsid w:val="00977EA1"/>
    <w:rsid w:val="00980477"/>
    <w:rsid w:val="0098075D"/>
    <w:rsid w:val="009809EC"/>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743"/>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43F"/>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202"/>
    <w:rsid w:val="00A0185F"/>
    <w:rsid w:val="00A01D47"/>
    <w:rsid w:val="00A021B1"/>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94B"/>
    <w:rsid w:val="00A10999"/>
    <w:rsid w:val="00A109B2"/>
    <w:rsid w:val="00A10C66"/>
    <w:rsid w:val="00A1106B"/>
    <w:rsid w:val="00A1126E"/>
    <w:rsid w:val="00A113AF"/>
    <w:rsid w:val="00A113F6"/>
    <w:rsid w:val="00A11AE0"/>
    <w:rsid w:val="00A12C38"/>
    <w:rsid w:val="00A13036"/>
    <w:rsid w:val="00A13E54"/>
    <w:rsid w:val="00A143B5"/>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4C6"/>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AA"/>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72C"/>
    <w:rsid w:val="00A55B22"/>
    <w:rsid w:val="00A55B28"/>
    <w:rsid w:val="00A55C61"/>
    <w:rsid w:val="00A5629A"/>
    <w:rsid w:val="00A56798"/>
    <w:rsid w:val="00A56FE3"/>
    <w:rsid w:val="00A57977"/>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59A"/>
    <w:rsid w:val="00A75D39"/>
    <w:rsid w:val="00A761D4"/>
    <w:rsid w:val="00A76DBB"/>
    <w:rsid w:val="00A7706C"/>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591"/>
    <w:rsid w:val="00AA0F66"/>
    <w:rsid w:val="00AA0FCD"/>
    <w:rsid w:val="00AA147E"/>
    <w:rsid w:val="00AA16A7"/>
    <w:rsid w:val="00AA1A9D"/>
    <w:rsid w:val="00AA1ED6"/>
    <w:rsid w:val="00AA20D0"/>
    <w:rsid w:val="00AA2C82"/>
    <w:rsid w:val="00AA330A"/>
    <w:rsid w:val="00AA33C1"/>
    <w:rsid w:val="00AA35D8"/>
    <w:rsid w:val="00AA361D"/>
    <w:rsid w:val="00AA384D"/>
    <w:rsid w:val="00AA39CE"/>
    <w:rsid w:val="00AA3F4E"/>
    <w:rsid w:val="00AA43F2"/>
    <w:rsid w:val="00AA51D6"/>
    <w:rsid w:val="00AA5304"/>
    <w:rsid w:val="00AA5A4B"/>
    <w:rsid w:val="00AA6B03"/>
    <w:rsid w:val="00AA6DE4"/>
    <w:rsid w:val="00AB028A"/>
    <w:rsid w:val="00AB03C6"/>
    <w:rsid w:val="00AB08B1"/>
    <w:rsid w:val="00AB0BC8"/>
    <w:rsid w:val="00AB0DE4"/>
    <w:rsid w:val="00AB11CA"/>
    <w:rsid w:val="00AB1303"/>
    <w:rsid w:val="00AB14D9"/>
    <w:rsid w:val="00AB1F9E"/>
    <w:rsid w:val="00AB2419"/>
    <w:rsid w:val="00AB29E4"/>
    <w:rsid w:val="00AB2F6B"/>
    <w:rsid w:val="00AB34CD"/>
    <w:rsid w:val="00AB37AA"/>
    <w:rsid w:val="00AB3938"/>
    <w:rsid w:val="00AB3A48"/>
    <w:rsid w:val="00AB3F33"/>
    <w:rsid w:val="00AB42ED"/>
    <w:rsid w:val="00AB4594"/>
    <w:rsid w:val="00AB4AB8"/>
    <w:rsid w:val="00AB4AF9"/>
    <w:rsid w:val="00AB5006"/>
    <w:rsid w:val="00AB5060"/>
    <w:rsid w:val="00AB592F"/>
    <w:rsid w:val="00AB61A4"/>
    <w:rsid w:val="00AB61E3"/>
    <w:rsid w:val="00AB655E"/>
    <w:rsid w:val="00AB73E4"/>
    <w:rsid w:val="00AB7429"/>
    <w:rsid w:val="00AB7818"/>
    <w:rsid w:val="00AB7BB9"/>
    <w:rsid w:val="00AC007F"/>
    <w:rsid w:val="00AC066C"/>
    <w:rsid w:val="00AC08AA"/>
    <w:rsid w:val="00AC0A93"/>
    <w:rsid w:val="00AC0C93"/>
    <w:rsid w:val="00AC0FF8"/>
    <w:rsid w:val="00AC19E4"/>
    <w:rsid w:val="00AC1C05"/>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CB"/>
    <w:rsid w:val="00AC5FF4"/>
    <w:rsid w:val="00AC6319"/>
    <w:rsid w:val="00AC673F"/>
    <w:rsid w:val="00AC675A"/>
    <w:rsid w:val="00AC681E"/>
    <w:rsid w:val="00AC6CC7"/>
    <w:rsid w:val="00AC733C"/>
    <w:rsid w:val="00AC737B"/>
    <w:rsid w:val="00AC75F5"/>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F5E"/>
    <w:rsid w:val="00AE01FD"/>
    <w:rsid w:val="00AE0470"/>
    <w:rsid w:val="00AE07E6"/>
    <w:rsid w:val="00AE098D"/>
    <w:rsid w:val="00AE0B14"/>
    <w:rsid w:val="00AE0C21"/>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7B5"/>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95D"/>
    <w:rsid w:val="00AF6A8B"/>
    <w:rsid w:val="00AF6FDE"/>
    <w:rsid w:val="00AF7121"/>
    <w:rsid w:val="00AF792E"/>
    <w:rsid w:val="00B006FE"/>
    <w:rsid w:val="00B007CB"/>
    <w:rsid w:val="00B00BAA"/>
    <w:rsid w:val="00B00EEA"/>
    <w:rsid w:val="00B0115F"/>
    <w:rsid w:val="00B014E3"/>
    <w:rsid w:val="00B01908"/>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12E"/>
    <w:rsid w:val="00B0737B"/>
    <w:rsid w:val="00B078BF"/>
    <w:rsid w:val="00B07961"/>
    <w:rsid w:val="00B07EBA"/>
    <w:rsid w:val="00B100B9"/>
    <w:rsid w:val="00B1052A"/>
    <w:rsid w:val="00B105F6"/>
    <w:rsid w:val="00B123E7"/>
    <w:rsid w:val="00B125F7"/>
    <w:rsid w:val="00B139E0"/>
    <w:rsid w:val="00B13E74"/>
    <w:rsid w:val="00B14335"/>
    <w:rsid w:val="00B1469E"/>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5B0"/>
    <w:rsid w:val="00B23AE8"/>
    <w:rsid w:val="00B23CC2"/>
    <w:rsid w:val="00B24A9A"/>
    <w:rsid w:val="00B25210"/>
    <w:rsid w:val="00B2712A"/>
    <w:rsid w:val="00B2763F"/>
    <w:rsid w:val="00B27853"/>
    <w:rsid w:val="00B27AA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1B"/>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FEE"/>
    <w:rsid w:val="00B52A53"/>
    <w:rsid w:val="00B52A99"/>
    <w:rsid w:val="00B52D7F"/>
    <w:rsid w:val="00B52D8B"/>
    <w:rsid w:val="00B52F99"/>
    <w:rsid w:val="00B53079"/>
    <w:rsid w:val="00B53188"/>
    <w:rsid w:val="00B533B6"/>
    <w:rsid w:val="00B53ED8"/>
    <w:rsid w:val="00B54428"/>
    <w:rsid w:val="00B54FC5"/>
    <w:rsid w:val="00B54FD1"/>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189"/>
    <w:rsid w:val="00B71606"/>
    <w:rsid w:val="00B716B4"/>
    <w:rsid w:val="00B718E4"/>
    <w:rsid w:val="00B7276A"/>
    <w:rsid w:val="00B72F35"/>
    <w:rsid w:val="00B7328B"/>
    <w:rsid w:val="00B734DA"/>
    <w:rsid w:val="00B738C8"/>
    <w:rsid w:val="00B739F6"/>
    <w:rsid w:val="00B74D07"/>
    <w:rsid w:val="00B756B8"/>
    <w:rsid w:val="00B75C40"/>
    <w:rsid w:val="00B75CE6"/>
    <w:rsid w:val="00B75D28"/>
    <w:rsid w:val="00B768FE"/>
    <w:rsid w:val="00B76AE7"/>
    <w:rsid w:val="00B76EFA"/>
    <w:rsid w:val="00B77A05"/>
    <w:rsid w:val="00B77A81"/>
    <w:rsid w:val="00B77D15"/>
    <w:rsid w:val="00B77EC9"/>
    <w:rsid w:val="00B80475"/>
    <w:rsid w:val="00B80D75"/>
    <w:rsid w:val="00B81A6C"/>
    <w:rsid w:val="00B81AD8"/>
    <w:rsid w:val="00B82151"/>
    <w:rsid w:val="00B82BEB"/>
    <w:rsid w:val="00B83698"/>
    <w:rsid w:val="00B83939"/>
    <w:rsid w:val="00B839A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A47"/>
    <w:rsid w:val="00B91BC9"/>
    <w:rsid w:val="00B91BF3"/>
    <w:rsid w:val="00B91CB1"/>
    <w:rsid w:val="00B91D24"/>
    <w:rsid w:val="00B91DE3"/>
    <w:rsid w:val="00B923B3"/>
    <w:rsid w:val="00B92526"/>
    <w:rsid w:val="00B9279F"/>
    <w:rsid w:val="00B929B7"/>
    <w:rsid w:val="00B92C63"/>
    <w:rsid w:val="00B92DAF"/>
    <w:rsid w:val="00B92EDB"/>
    <w:rsid w:val="00B92F19"/>
    <w:rsid w:val="00B93427"/>
    <w:rsid w:val="00B936EA"/>
    <w:rsid w:val="00B93922"/>
    <w:rsid w:val="00B93A2B"/>
    <w:rsid w:val="00B93B55"/>
    <w:rsid w:val="00B93B59"/>
    <w:rsid w:val="00B93DAC"/>
    <w:rsid w:val="00B9406A"/>
    <w:rsid w:val="00B94E68"/>
    <w:rsid w:val="00B951DC"/>
    <w:rsid w:val="00B9530B"/>
    <w:rsid w:val="00B95C66"/>
    <w:rsid w:val="00B95D98"/>
    <w:rsid w:val="00B964AB"/>
    <w:rsid w:val="00B96A62"/>
    <w:rsid w:val="00B973B9"/>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D37"/>
    <w:rsid w:val="00BB1153"/>
    <w:rsid w:val="00BB14A8"/>
    <w:rsid w:val="00BB14C4"/>
    <w:rsid w:val="00BB2613"/>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C73"/>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C9D"/>
    <w:rsid w:val="00BC4D2E"/>
    <w:rsid w:val="00BC5438"/>
    <w:rsid w:val="00BC57B1"/>
    <w:rsid w:val="00BC5D1C"/>
    <w:rsid w:val="00BC69F8"/>
    <w:rsid w:val="00BC6A41"/>
    <w:rsid w:val="00BC6BB5"/>
    <w:rsid w:val="00BC6BC1"/>
    <w:rsid w:val="00BC6F3D"/>
    <w:rsid w:val="00BC7044"/>
    <w:rsid w:val="00BC7651"/>
    <w:rsid w:val="00BD0084"/>
    <w:rsid w:val="00BD1169"/>
    <w:rsid w:val="00BD130D"/>
    <w:rsid w:val="00BD1823"/>
    <w:rsid w:val="00BD18B8"/>
    <w:rsid w:val="00BD1AA5"/>
    <w:rsid w:val="00BD2106"/>
    <w:rsid w:val="00BD27AF"/>
    <w:rsid w:val="00BD327F"/>
    <w:rsid w:val="00BD33B6"/>
    <w:rsid w:val="00BD371C"/>
    <w:rsid w:val="00BD3883"/>
    <w:rsid w:val="00BD48AC"/>
    <w:rsid w:val="00BD4CDD"/>
    <w:rsid w:val="00BD4E61"/>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1DD8"/>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E42"/>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2BC8"/>
    <w:rsid w:val="00C1336E"/>
    <w:rsid w:val="00C1339F"/>
    <w:rsid w:val="00C13429"/>
    <w:rsid w:val="00C136B9"/>
    <w:rsid w:val="00C13C4B"/>
    <w:rsid w:val="00C14D4B"/>
    <w:rsid w:val="00C14F45"/>
    <w:rsid w:val="00C15005"/>
    <w:rsid w:val="00C151A8"/>
    <w:rsid w:val="00C151AD"/>
    <w:rsid w:val="00C153EB"/>
    <w:rsid w:val="00C15461"/>
    <w:rsid w:val="00C154BB"/>
    <w:rsid w:val="00C15FEA"/>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3BF4"/>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4FD"/>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1F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5CF"/>
    <w:rsid w:val="00C60783"/>
    <w:rsid w:val="00C609B6"/>
    <w:rsid w:val="00C613C5"/>
    <w:rsid w:val="00C6151A"/>
    <w:rsid w:val="00C617F5"/>
    <w:rsid w:val="00C61990"/>
    <w:rsid w:val="00C61B4C"/>
    <w:rsid w:val="00C61C43"/>
    <w:rsid w:val="00C61FE8"/>
    <w:rsid w:val="00C6225F"/>
    <w:rsid w:val="00C627E4"/>
    <w:rsid w:val="00C62F23"/>
    <w:rsid w:val="00C63B6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23A"/>
    <w:rsid w:val="00C7057C"/>
    <w:rsid w:val="00C70697"/>
    <w:rsid w:val="00C7129C"/>
    <w:rsid w:val="00C716A0"/>
    <w:rsid w:val="00C71E5F"/>
    <w:rsid w:val="00C72EF4"/>
    <w:rsid w:val="00C73332"/>
    <w:rsid w:val="00C73931"/>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871"/>
    <w:rsid w:val="00C83454"/>
    <w:rsid w:val="00C836BC"/>
    <w:rsid w:val="00C837B2"/>
    <w:rsid w:val="00C84618"/>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89B"/>
    <w:rsid w:val="00C93B42"/>
    <w:rsid w:val="00C93C4B"/>
    <w:rsid w:val="00C944AB"/>
    <w:rsid w:val="00C94660"/>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6FA3"/>
    <w:rsid w:val="00CD7877"/>
    <w:rsid w:val="00CD78AE"/>
    <w:rsid w:val="00CE0424"/>
    <w:rsid w:val="00CE065E"/>
    <w:rsid w:val="00CE182B"/>
    <w:rsid w:val="00CE2107"/>
    <w:rsid w:val="00CE225F"/>
    <w:rsid w:val="00CE24E1"/>
    <w:rsid w:val="00CE2651"/>
    <w:rsid w:val="00CE2852"/>
    <w:rsid w:val="00CE2883"/>
    <w:rsid w:val="00CE2A8A"/>
    <w:rsid w:val="00CE30E7"/>
    <w:rsid w:val="00CE37DF"/>
    <w:rsid w:val="00CE3979"/>
    <w:rsid w:val="00CE3C2A"/>
    <w:rsid w:val="00CE3CFB"/>
    <w:rsid w:val="00CE535B"/>
    <w:rsid w:val="00CE5519"/>
    <w:rsid w:val="00CE56D0"/>
    <w:rsid w:val="00CE5A51"/>
    <w:rsid w:val="00CE74E6"/>
    <w:rsid w:val="00CE7561"/>
    <w:rsid w:val="00CE7D63"/>
    <w:rsid w:val="00CF031A"/>
    <w:rsid w:val="00CF1354"/>
    <w:rsid w:val="00CF1397"/>
    <w:rsid w:val="00CF1BD0"/>
    <w:rsid w:val="00CF27E3"/>
    <w:rsid w:val="00CF2914"/>
    <w:rsid w:val="00CF302B"/>
    <w:rsid w:val="00CF3A80"/>
    <w:rsid w:val="00CF3B1F"/>
    <w:rsid w:val="00CF3BF6"/>
    <w:rsid w:val="00CF3D04"/>
    <w:rsid w:val="00CF42C4"/>
    <w:rsid w:val="00CF49D6"/>
    <w:rsid w:val="00CF4FAD"/>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64A"/>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0C3F"/>
    <w:rsid w:val="00D115C3"/>
    <w:rsid w:val="00D11897"/>
    <w:rsid w:val="00D118C5"/>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090"/>
    <w:rsid w:val="00D32518"/>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D48"/>
    <w:rsid w:val="00D43FBB"/>
    <w:rsid w:val="00D440F8"/>
    <w:rsid w:val="00D441B9"/>
    <w:rsid w:val="00D4515A"/>
    <w:rsid w:val="00D455F2"/>
    <w:rsid w:val="00D4568D"/>
    <w:rsid w:val="00D4576B"/>
    <w:rsid w:val="00D45964"/>
    <w:rsid w:val="00D4619E"/>
    <w:rsid w:val="00D46285"/>
    <w:rsid w:val="00D463E2"/>
    <w:rsid w:val="00D464B5"/>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6CA"/>
    <w:rsid w:val="00D576E3"/>
    <w:rsid w:val="00D603D7"/>
    <w:rsid w:val="00D60E13"/>
    <w:rsid w:val="00D61AF5"/>
    <w:rsid w:val="00D628A4"/>
    <w:rsid w:val="00D62AC2"/>
    <w:rsid w:val="00D62CD5"/>
    <w:rsid w:val="00D633CB"/>
    <w:rsid w:val="00D64024"/>
    <w:rsid w:val="00D642D1"/>
    <w:rsid w:val="00D6435F"/>
    <w:rsid w:val="00D64A5D"/>
    <w:rsid w:val="00D64DEB"/>
    <w:rsid w:val="00D652B5"/>
    <w:rsid w:val="00D652F2"/>
    <w:rsid w:val="00D65FA3"/>
    <w:rsid w:val="00D6607B"/>
    <w:rsid w:val="00D66155"/>
    <w:rsid w:val="00D66919"/>
    <w:rsid w:val="00D6740F"/>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5D41"/>
    <w:rsid w:val="00D7681C"/>
    <w:rsid w:val="00D76DF0"/>
    <w:rsid w:val="00D76EF1"/>
    <w:rsid w:val="00D773FC"/>
    <w:rsid w:val="00D7751A"/>
    <w:rsid w:val="00D77531"/>
    <w:rsid w:val="00D77B1D"/>
    <w:rsid w:val="00D8021F"/>
    <w:rsid w:val="00D80383"/>
    <w:rsid w:val="00D80ADB"/>
    <w:rsid w:val="00D80B3E"/>
    <w:rsid w:val="00D81B9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0B"/>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0CCD"/>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E8"/>
    <w:rsid w:val="00DA5852"/>
    <w:rsid w:val="00DA5BDE"/>
    <w:rsid w:val="00DA6209"/>
    <w:rsid w:val="00DA6689"/>
    <w:rsid w:val="00DA69D3"/>
    <w:rsid w:val="00DA7255"/>
    <w:rsid w:val="00DA7516"/>
    <w:rsid w:val="00DA7E9B"/>
    <w:rsid w:val="00DB0A9F"/>
    <w:rsid w:val="00DB0CD7"/>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431"/>
    <w:rsid w:val="00DB6AF3"/>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A7"/>
    <w:rsid w:val="00DC7080"/>
    <w:rsid w:val="00DC7AAD"/>
    <w:rsid w:val="00DC7E2E"/>
    <w:rsid w:val="00DD0200"/>
    <w:rsid w:val="00DD0A3C"/>
    <w:rsid w:val="00DD0CAB"/>
    <w:rsid w:val="00DD0CCA"/>
    <w:rsid w:val="00DD1174"/>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8D3"/>
    <w:rsid w:val="00DD7A55"/>
    <w:rsid w:val="00DD7A99"/>
    <w:rsid w:val="00DD7B56"/>
    <w:rsid w:val="00DD7DCF"/>
    <w:rsid w:val="00DE06D0"/>
    <w:rsid w:val="00DE0CA7"/>
    <w:rsid w:val="00DE127F"/>
    <w:rsid w:val="00DE16A2"/>
    <w:rsid w:val="00DE1825"/>
    <w:rsid w:val="00DE1ADF"/>
    <w:rsid w:val="00DE2A6E"/>
    <w:rsid w:val="00DE2C0D"/>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AD5"/>
    <w:rsid w:val="00E06C4D"/>
    <w:rsid w:val="00E0781D"/>
    <w:rsid w:val="00E0798F"/>
    <w:rsid w:val="00E07D16"/>
    <w:rsid w:val="00E10749"/>
    <w:rsid w:val="00E110E7"/>
    <w:rsid w:val="00E1133B"/>
    <w:rsid w:val="00E1196D"/>
    <w:rsid w:val="00E11B20"/>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C7C"/>
    <w:rsid w:val="00E64F71"/>
    <w:rsid w:val="00E650C5"/>
    <w:rsid w:val="00E65359"/>
    <w:rsid w:val="00E65486"/>
    <w:rsid w:val="00E65BD4"/>
    <w:rsid w:val="00E65DE5"/>
    <w:rsid w:val="00E661A7"/>
    <w:rsid w:val="00E665EC"/>
    <w:rsid w:val="00E67290"/>
    <w:rsid w:val="00E67540"/>
    <w:rsid w:val="00E677DD"/>
    <w:rsid w:val="00E67998"/>
    <w:rsid w:val="00E67C51"/>
    <w:rsid w:val="00E7011B"/>
    <w:rsid w:val="00E7057C"/>
    <w:rsid w:val="00E7069F"/>
    <w:rsid w:val="00E70B34"/>
    <w:rsid w:val="00E71232"/>
    <w:rsid w:val="00E72EFC"/>
    <w:rsid w:val="00E73840"/>
    <w:rsid w:val="00E73DC7"/>
    <w:rsid w:val="00E7448C"/>
    <w:rsid w:val="00E747A5"/>
    <w:rsid w:val="00E74859"/>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738"/>
    <w:rsid w:val="00E83AA9"/>
    <w:rsid w:val="00E84439"/>
    <w:rsid w:val="00E84B69"/>
    <w:rsid w:val="00E84BA8"/>
    <w:rsid w:val="00E84C24"/>
    <w:rsid w:val="00E84D30"/>
    <w:rsid w:val="00E85241"/>
    <w:rsid w:val="00E85928"/>
    <w:rsid w:val="00E85D48"/>
    <w:rsid w:val="00E85DDF"/>
    <w:rsid w:val="00E85F0B"/>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0E3B"/>
    <w:rsid w:val="00EA17BD"/>
    <w:rsid w:val="00EA1A85"/>
    <w:rsid w:val="00EA1CA1"/>
    <w:rsid w:val="00EA20DE"/>
    <w:rsid w:val="00EA2260"/>
    <w:rsid w:val="00EA26A9"/>
    <w:rsid w:val="00EA2CF1"/>
    <w:rsid w:val="00EA2D2E"/>
    <w:rsid w:val="00EA34FF"/>
    <w:rsid w:val="00EA4483"/>
    <w:rsid w:val="00EA4BC9"/>
    <w:rsid w:val="00EA5A5B"/>
    <w:rsid w:val="00EA5AA7"/>
    <w:rsid w:val="00EA6A36"/>
    <w:rsid w:val="00EA7056"/>
    <w:rsid w:val="00EA70B1"/>
    <w:rsid w:val="00EA7A41"/>
    <w:rsid w:val="00EA7C14"/>
    <w:rsid w:val="00EB046F"/>
    <w:rsid w:val="00EB077B"/>
    <w:rsid w:val="00EB0C78"/>
    <w:rsid w:val="00EB1273"/>
    <w:rsid w:val="00EB21E2"/>
    <w:rsid w:val="00EB22DA"/>
    <w:rsid w:val="00EB3645"/>
    <w:rsid w:val="00EB3AFC"/>
    <w:rsid w:val="00EB3BA7"/>
    <w:rsid w:val="00EB3C74"/>
    <w:rsid w:val="00EB3DE6"/>
    <w:rsid w:val="00EB4791"/>
    <w:rsid w:val="00EB4C70"/>
    <w:rsid w:val="00EB4EA2"/>
    <w:rsid w:val="00EB5333"/>
    <w:rsid w:val="00EB55C0"/>
    <w:rsid w:val="00EB5BE1"/>
    <w:rsid w:val="00EB6884"/>
    <w:rsid w:val="00EB68B4"/>
    <w:rsid w:val="00EB718C"/>
    <w:rsid w:val="00EB7353"/>
    <w:rsid w:val="00EB75F3"/>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52"/>
    <w:rsid w:val="00ED1BEE"/>
    <w:rsid w:val="00ED1D14"/>
    <w:rsid w:val="00ED23CC"/>
    <w:rsid w:val="00ED24B0"/>
    <w:rsid w:val="00ED2605"/>
    <w:rsid w:val="00ED28FA"/>
    <w:rsid w:val="00ED2AB8"/>
    <w:rsid w:val="00ED36F2"/>
    <w:rsid w:val="00ED3E2F"/>
    <w:rsid w:val="00ED4362"/>
    <w:rsid w:val="00ED454B"/>
    <w:rsid w:val="00ED45CB"/>
    <w:rsid w:val="00ED4917"/>
    <w:rsid w:val="00ED4975"/>
    <w:rsid w:val="00ED49D3"/>
    <w:rsid w:val="00ED4BF3"/>
    <w:rsid w:val="00ED4C85"/>
    <w:rsid w:val="00ED4FF4"/>
    <w:rsid w:val="00ED53F1"/>
    <w:rsid w:val="00ED5902"/>
    <w:rsid w:val="00ED65CA"/>
    <w:rsid w:val="00ED668D"/>
    <w:rsid w:val="00ED6C4B"/>
    <w:rsid w:val="00ED6DF2"/>
    <w:rsid w:val="00ED74C4"/>
    <w:rsid w:val="00ED7799"/>
    <w:rsid w:val="00ED7E54"/>
    <w:rsid w:val="00EE0CA6"/>
    <w:rsid w:val="00EE0E2C"/>
    <w:rsid w:val="00EE1779"/>
    <w:rsid w:val="00EE17AA"/>
    <w:rsid w:val="00EE1939"/>
    <w:rsid w:val="00EE27CE"/>
    <w:rsid w:val="00EE2BB7"/>
    <w:rsid w:val="00EE2C5B"/>
    <w:rsid w:val="00EE35E9"/>
    <w:rsid w:val="00EE3C98"/>
    <w:rsid w:val="00EE409B"/>
    <w:rsid w:val="00EE45FA"/>
    <w:rsid w:val="00EE4643"/>
    <w:rsid w:val="00EE4C32"/>
    <w:rsid w:val="00EE4D0C"/>
    <w:rsid w:val="00EE5581"/>
    <w:rsid w:val="00EE5666"/>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BDF"/>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1B2"/>
    <w:rsid w:val="00F036EF"/>
    <w:rsid w:val="00F03ED4"/>
    <w:rsid w:val="00F03F7A"/>
    <w:rsid w:val="00F049FC"/>
    <w:rsid w:val="00F04ABF"/>
    <w:rsid w:val="00F04DC0"/>
    <w:rsid w:val="00F0528D"/>
    <w:rsid w:val="00F054B9"/>
    <w:rsid w:val="00F06350"/>
    <w:rsid w:val="00F06405"/>
    <w:rsid w:val="00F066EC"/>
    <w:rsid w:val="00F06C67"/>
    <w:rsid w:val="00F06DFD"/>
    <w:rsid w:val="00F071D1"/>
    <w:rsid w:val="00F07533"/>
    <w:rsid w:val="00F07AA8"/>
    <w:rsid w:val="00F10029"/>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B7C"/>
    <w:rsid w:val="00F12D2B"/>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2EB"/>
    <w:rsid w:val="00F174B4"/>
    <w:rsid w:val="00F17A7B"/>
    <w:rsid w:val="00F17B68"/>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6010"/>
    <w:rsid w:val="00F46640"/>
    <w:rsid w:val="00F46B03"/>
    <w:rsid w:val="00F46BF3"/>
    <w:rsid w:val="00F46FE6"/>
    <w:rsid w:val="00F4766C"/>
    <w:rsid w:val="00F4790D"/>
    <w:rsid w:val="00F47973"/>
    <w:rsid w:val="00F501A2"/>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AAC"/>
    <w:rsid w:val="00F62E00"/>
    <w:rsid w:val="00F6302A"/>
    <w:rsid w:val="00F63055"/>
    <w:rsid w:val="00F638B3"/>
    <w:rsid w:val="00F639A8"/>
    <w:rsid w:val="00F63DAF"/>
    <w:rsid w:val="00F64206"/>
    <w:rsid w:val="00F64C2B"/>
    <w:rsid w:val="00F64F1B"/>
    <w:rsid w:val="00F650BF"/>
    <w:rsid w:val="00F651BE"/>
    <w:rsid w:val="00F65A96"/>
    <w:rsid w:val="00F65F67"/>
    <w:rsid w:val="00F672CB"/>
    <w:rsid w:val="00F676FE"/>
    <w:rsid w:val="00F678AD"/>
    <w:rsid w:val="00F67B02"/>
    <w:rsid w:val="00F67DCB"/>
    <w:rsid w:val="00F67F53"/>
    <w:rsid w:val="00F703BE"/>
    <w:rsid w:val="00F7049B"/>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17CE"/>
    <w:rsid w:val="00F81EE3"/>
    <w:rsid w:val="00F829A7"/>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92"/>
    <w:rsid w:val="00F943E8"/>
    <w:rsid w:val="00F94C8B"/>
    <w:rsid w:val="00F95233"/>
    <w:rsid w:val="00F952DD"/>
    <w:rsid w:val="00F95AF6"/>
    <w:rsid w:val="00F96559"/>
    <w:rsid w:val="00F9686A"/>
    <w:rsid w:val="00F96985"/>
    <w:rsid w:val="00F96BDD"/>
    <w:rsid w:val="00F96C9D"/>
    <w:rsid w:val="00F96F0E"/>
    <w:rsid w:val="00F97015"/>
    <w:rsid w:val="00F97171"/>
    <w:rsid w:val="00F9739A"/>
    <w:rsid w:val="00F97744"/>
    <w:rsid w:val="00F97838"/>
    <w:rsid w:val="00FA0638"/>
    <w:rsid w:val="00FA0E55"/>
    <w:rsid w:val="00FA1034"/>
    <w:rsid w:val="00FA16F4"/>
    <w:rsid w:val="00FA1909"/>
    <w:rsid w:val="00FA24B8"/>
    <w:rsid w:val="00FA29A8"/>
    <w:rsid w:val="00FA2B9A"/>
    <w:rsid w:val="00FA2BB3"/>
    <w:rsid w:val="00FA4A57"/>
    <w:rsid w:val="00FA4BD6"/>
    <w:rsid w:val="00FA4E8B"/>
    <w:rsid w:val="00FA4F44"/>
    <w:rsid w:val="00FA5339"/>
    <w:rsid w:val="00FA547C"/>
    <w:rsid w:val="00FA57C3"/>
    <w:rsid w:val="00FA585D"/>
    <w:rsid w:val="00FA5A95"/>
    <w:rsid w:val="00FA6A7C"/>
    <w:rsid w:val="00FA72BF"/>
    <w:rsid w:val="00FA7362"/>
    <w:rsid w:val="00FA797C"/>
    <w:rsid w:val="00FA7AB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6E"/>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C8F"/>
    <w:rsid w:val="00FC2F90"/>
    <w:rsid w:val="00FC3834"/>
    <w:rsid w:val="00FC3CA0"/>
    <w:rsid w:val="00FC4AD0"/>
    <w:rsid w:val="00FC4F6C"/>
    <w:rsid w:val="00FC5287"/>
    <w:rsid w:val="00FC54BD"/>
    <w:rsid w:val="00FC5AD5"/>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1C10"/>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4FB5"/>
    <w:rsid w:val="00FF547E"/>
    <w:rsid w:val="00FF5517"/>
    <w:rsid w:val="00FF563C"/>
    <w:rsid w:val="00FF56E6"/>
    <w:rsid w:val="00FF5C91"/>
    <w:rsid w:val="00FF5F49"/>
    <w:rsid w:val="00FF6CAC"/>
    <w:rsid w:val="00FF75B4"/>
    <w:rsid w:val="00FF7BB6"/>
    <w:rsid w:val="3CD70229"/>
    <w:rsid w:val="69463B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33730F"/>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link w:val="Heading2Char"/>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lang w:eastAsia="en-US"/>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CurrentList1">
    <w:name w:val="Current List1"/>
    <w:uiPriority w:val="99"/>
    <w:rsid w:val="005A6FA9"/>
    <w:pPr>
      <w:numPr>
        <w:numId w:val="122"/>
      </w:numPr>
    </w:pPr>
  </w:style>
  <w:style w:type="paragraph" w:styleId="EndnoteText">
    <w:name w:val="endnote text"/>
    <w:basedOn w:val="Normal"/>
    <w:link w:val="EndnoteTextChar"/>
    <w:semiHidden/>
    <w:unhideWhenUsed/>
    <w:rsid w:val="00082676"/>
    <w:rPr>
      <w:sz w:val="20"/>
      <w:szCs w:val="20"/>
    </w:rPr>
  </w:style>
  <w:style w:type="character" w:customStyle="1" w:styleId="EndnoteTextChar">
    <w:name w:val="Endnote Text Char"/>
    <w:basedOn w:val="DefaultParagraphFont"/>
    <w:link w:val="EndnoteText"/>
    <w:semiHidden/>
    <w:rsid w:val="00082676"/>
    <w:rPr>
      <w:rFonts w:ascii="Times New Roman" w:hAnsi="Times New Roman"/>
    </w:rPr>
  </w:style>
  <w:style w:type="character" w:styleId="EndnoteReference">
    <w:name w:val="endnote reference"/>
    <w:basedOn w:val="DefaultParagraphFont"/>
    <w:semiHidden/>
    <w:unhideWhenUsed/>
    <w:rsid w:val="00082676"/>
    <w:rPr>
      <w:vertAlign w:val="superscript"/>
    </w:rPr>
  </w:style>
  <w:style w:type="character" w:customStyle="1" w:styleId="Heading2Char">
    <w:name w:val="Heading 2 Char"/>
    <w:basedOn w:val="DefaultParagraphFont"/>
    <w:link w:val="Heading2"/>
    <w:rsid w:val="000827D7"/>
    <w:rPr>
      <w:rFonts w:ascii="Times New Roman" w:hAnsi="Times New Roman"/>
      <w:sz w:val="32"/>
      <w:szCs w:val="32"/>
    </w:rPr>
  </w:style>
  <w:style w:type="paragraph" w:styleId="Revision">
    <w:name w:val="Revision"/>
    <w:hidden/>
    <w:uiPriority w:val="71"/>
    <w:semiHidden/>
    <w:rsid w:val="00B91CB1"/>
    <w:rPr>
      <w:rFonts w:ascii="Times New Roman" w:hAnsi="Times New Roman"/>
      <w:sz w:val="24"/>
      <w:szCs w:val="24"/>
    </w:rPr>
  </w:style>
  <w:style w:type="character" w:customStyle="1" w:styleId="katex-mathml">
    <w:name w:val="katex-mathml"/>
    <w:basedOn w:val="DefaultParagraphFont"/>
    <w:rsid w:val="00D10C3F"/>
  </w:style>
  <w:style w:type="character" w:customStyle="1" w:styleId="mopen">
    <w:name w:val="mopen"/>
    <w:basedOn w:val="DefaultParagraphFont"/>
    <w:rsid w:val="008C3862"/>
  </w:style>
  <w:style w:type="character" w:customStyle="1" w:styleId="mord">
    <w:name w:val="mord"/>
    <w:basedOn w:val="DefaultParagraphFont"/>
    <w:rsid w:val="008C3862"/>
  </w:style>
  <w:style w:type="character" w:customStyle="1" w:styleId="mpunct">
    <w:name w:val="mpunct"/>
    <w:basedOn w:val="DefaultParagraphFont"/>
    <w:rsid w:val="008C3862"/>
  </w:style>
  <w:style w:type="character" w:customStyle="1" w:styleId="mclose">
    <w:name w:val="mclose"/>
    <w:basedOn w:val="DefaultParagraphFont"/>
    <w:rsid w:val="008C3862"/>
  </w:style>
  <w:style w:type="character" w:customStyle="1" w:styleId="vlist-s">
    <w:name w:val="vlist-s"/>
    <w:basedOn w:val="DefaultParagraphFont"/>
    <w:rsid w:val="008C38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1562401">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35370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ti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ti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ti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tif"/><Relationship Id="rId20" Type="http://schemas.openxmlformats.org/officeDocument/2006/relationships/image" Target="media/image13.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10" Type="http://schemas.openxmlformats.org/officeDocument/2006/relationships/image" Target="media/image3.png"/><Relationship Id="rId19" Type="http://schemas.openxmlformats.org/officeDocument/2006/relationships/image" Target="media/image12.t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ti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22</Pages>
  <Words>6814</Words>
  <Characters>38840</Characters>
  <Application>Microsoft Office Word</Application>
  <DocSecurity>0</DocSecurity>
  <Lines>323</Lines>
  <Paragraphs>91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45563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2025-10-03T16:47:00Z</dcterms:created>
  <dcterms:modified xsi:type="dcterms:W3CDTF">2025-10-03T16:47:00Z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